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4C8FBF6E" w:rsidR="00436D14" w:rsidRPr="00012637" w:rsidRDefault="00436D14" w:rsidP="00426458">
      <w:pPr>
        <w:widowControl w:val="0"/>
        <w:spacing w:line="360" w:lineRule="auto"/>
        <w:ind w:right="-164"/>
        <w:jc w:val="both"/>
        <w:rPr>
          <w:rFonts w:ascii="Palatino Linotype" w:eastAsia="Calibri" w:hAnsi="Palatino Linotype" w:cs="Arial"/>
          <w:b/>
          <w:color w:val="000000"/>
        </w:rPr>
      </w:pPr>
      <w:r w:rsidRPr="00012637">
        <w:rPr>
          <w:rFonts w:ascii="Palatino Linotype" w:hAnsi="Palatino Linotype" w:cs="Arial"/>
          <w:b/>
        </w:rPr>
        <w:t>OPINI</w:t>
      </w:r>
      <w:r w:rsidR="00875BD4" w:rsidRPr="00012637">
        <w:rPr>
          <w:rFonts w:ascii="Palatino Linotype" w:hAnsi="Palatino Linotype" w:cs="Arial"/>
          <w:b/>
        </w:rPr>
        <w:t>Ó</w:t>
      </w:r>
      <w:r w:rsidRPr="00012637">
        <w:rPr>
          <w:rFonts w:ascii="Palatino Linotype" w:hAnsi="Palatino Linotype" w:cs="Arial"/>
          <w:b/>
        </w:rPr>
        <w:t xml:space="preserve">N PARTICULAR QUE FORMULA LA COMISIONADA EVA ABAID YAPUR, EN RELACIÓN CON LA RESOLUCIÓN DICTADA POR EL PLENO DEL INSTITUTO DE TRANSPARENCIA, ACCESO A LA INFORMACIÓN PÚBLICA Y PROTECCIÓN DE DATOS PERSONALES DEL ESTADO DE MÉXICO Y MUNICIPIOS, EN LA </w:t>
      </w:r>
      <w:r w:rsidR="00745414" w:rsidRPr="00012637">
        <w:rPr>
          <w:rFonts w:ascii="Palatino Linotype" w:hAnsi="Palatino Linotype" w:cs="Arial"/>
          <w:b/>
        </w:rPr>
        <w:t>TRIGÉSIMA SEGUNDA</w:t>
      </w:r>
      <w:r w:rsidR="00D50660" w:rsidRPr="00012637">
        <w:rPr>
          <w:rFonts w:ascii="Palatino Linotype" w:hAnsi="Palatino Linotype" w:cs="Arial"/>
          <w:b/>
        </w:rPr>
        <w:t xml:space="preserve"> </w:t>
      </w:r>
      <w:r w:rsidRPr="00012637">
        <w:rPr>
          <w:rFonts w:ascii="Palatino Linotype" w:hAnsi="Palatino Linotype" w:cs="Arial"/>
          <w:b/>
        </w:rPr>
        <w:t xml:space="preserve">SESIÓN ORDINARIA DE </w:t>
      </w:r>
      <w:r w:rsidR="00745414" w:rsidRPr="00012637">
        <w:rPr>
          <w:rFonts w:ascii="Palatino Linotype" w:hAnsi="Palatino Linotype" w:cs="Arial"/>
          <w:b/>
        </w:rPr>
        <w:t>CINCO DE SEPTIEMBRE</w:t>
      </w:r>
      <w:r w:rsidRPr="00012637">
        <w:rPr>
          <w:rFonts w:ascii="Palatino Linotype" w:hAnsi="Palatino Linotype" w:cs="Arial"/>
          <w:b/>
        </w:rPr>
        <w:t xml:space="preserve"> DE DOS MIL DIECIOCHO, EN EL RECURSO DE REVISIÓN </w:t>
      </w:r>
      <w:r w:rsidR="00745414" w:rsidRPr="00012637">
        <w:rPr>
          <w:rFonts w:ascii="Palatino Linotype" w:hAnsi="Palatino Linotype" w:cs="Arial"/>
          <w:b/>
        </w:rPr>
        <w:t>01203/INFOEM/IP/RR/2018</w:t>
      </w:r>
      <w:r w:rsidRPr="00012637">
        <w:rPr>
          <w:rFonts w:ascii="Palatino Linotype" w:eastAsia="Calibri" w:hAnsi="Palatino Linotype" w:cs="Arial"/>
          <w:b/>
          <w:color w:val="000000"/>
        </w:rPr>
        <w:t>.</w:t>
      </w:r>
    </w:p>
    <w:p w14:paraId="590DFCAC" w14:textId="77777777" w:rsidR="00153E3A" w:rsidRPr="00012637" w:rsidRDefault="00153E3A" w:rsidP="00426458">
      <w:pPr>
        <w:widowControl w:val="0"/>
        <w:spacing w:line="360" w:lineRule="auto"/>
        <w:ind w:right="-164"/>
        <w:jc w:val="both"/>
        <w:rPr>
          <w:rFonts w:ascii="Palatino Linotype" w:eastAsia="Calibri" w:hAnsi="Palatino Linotype" w:cs="Arial"/>
          <w:b/>
          <w:color w:val="000000"/>
        </w:rPr>
      </w:pPr>
    </w:p>
    <w:p w14:paraId="529B6CBA" w14:textId="36418521" w:rsidR="00436D14" w:rsidRPr="00012637" w:rsidRDefault="00436D14" w:rsidP="00426458">
      <w:pPr>
        <w:spacing w:line="360" w:lineRule="auto"/>
        <w:jc w:val="both"/>
        <w:rPr>
          <w:rFonts w:ascii="Palatino Linotype" w:hAnsi="Palatino Linotype" w:cs="Arial"/>
        </w:rPr>
      </w:pPr>
      <w:r w:rsidRPr="00012637">
        <w:rPr>
          <w:rFonts w:ascii="Palatino Linotype" w:hAnsi="Palatino Linotype" w:cs="Arial"/>
        </w:rPr>
        <w:t>Con fundamento en lo dispuesto por el artículo 14</w:t>
      </w:r>
      <w:r w:rsidR="001305C0" w:rsidRPr="00012637">
        <w:rPr>
          <w:rFonts w:ascii="Palatino Linotype" w:hAnsi="Palatino Linotype" w:cs="Arial"/>
        </w:rPr>
        <w:t>,</w:t>
      </w:r>
      <w:r w:rsidRPr="00012637">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012637">
        <w:rPr>
          <w:rFonts w:ascii="Palatino Linotype" w:hAnsi="Palatino Linotype" w:cs="Arial"/>
          <w:b/>
          <w:lang w:val="es-ES_tradnl"/>
        </w:rPr>
        <w:t xml:space="preserve"> </w:t>
      </w:r>
      <w:r w:rsidRPr="00012637">
        <w:rPr>
          <w:rFonts w:ascii="Palatino Linotype" w:hAnsi="Palatino Linotype" w:cs="Arial"/>
          <w:b/>
        </w:rPr>
        <w:t xml:space="preserve">EVA ABAID YAPUR </w:t>
      </w:r>
      <w:r w:rsidRPr="00012637">
        <w:rPr>
          <w:rFonts w:ascii="Palatino Linotype" w:hAnsi="Palatino Linotype" w:cs="Arial"/>
        </w:rPr>
        <w:t xml:space="preserve">emite </w:t>
      </w:r>
      <w:r w:rsidR="00875BD4" w:rsidRPr="00012637">
        <w:rPr>
          <w:rFonts w:ascii="Palatino Linotype" w:hAnsi="Palatino Linotype" w:cs="Arial"/>
          <w:b/>
        </w:rPr>
        <w:t>OPINIÓ</w:t>
      </w:r>
      <w:r w:rsidRPr="00012637">
        <w:rPr>
          <w:rFonts w:ascii="Palatino Linotype" w:hAnsi="Palatino Linotype" w:cs="Arial"/>
          <w:b/>
        </w:rPr>
        <w:t xml:space="preserve">N PARTICULAR </w:t>
      </w:r>
      <w:r w:rsidRPr="00012637">
        <w:rPr>
          <w:rFonts w:ascii="Palatino Linotype" w:hAnsi="Palatino Linotype" w:cs="Arial"/>
        </w:rPr>
        <w:t xml:space="preserve">respecto de la resolución dictada en el recurso de revisión </w:t>
      </w:r>
      <w:r w:rsidR="00426458" w:rsidRPr="00012637">
        <w:rPr>
          <w:rFonts w:ascii="Palatino Linotype" w:eastAsia="Calibri" w:hAnsi="Palatino Linotype" w:cs="Arial"/>
          <w:b/>
          <w:color w:val="000000"/>
        </w:rPr>
        <w:t>01203/INFOEM/IP/RR/2018</w:t>
      </w:r>
      <w:r w:rsidRPr="00012637">
        <w:rPr>
          <w:rFonts w:ascii="Palatino Linotype" w:hAnsi="Palatino Linotype" w:cs="Arial"/>
        </w:rPr>
        <w:t xml:space="preserve">, pronunciada por el Pleno de este Instituto ante el proyecto presentado por </w:t>
      </w:r>
      <w:r w:rsidR="00C34242" w:rsidRPr="00012637">
        <w:rPr>
          <w:rFonts w:ascii="Palatino Linotype" w:hAnsi="Palatino Linotype" w:cs="Arial"/>
        </w:rPr>
        <w:t>el</w:t>
      </w:r>
      <w:r w:rsidRPr="00012637">
        <w:rPr>
          <w:rFonts w:ascii="Palatino Linotype" w:hAnsi="Palatino Linotype" w:cs="Arial"/>
        </w:rPr>
        <w:t xml:space="preserve"> Comisionad</w:t>
      </w:r>
      <w:r w:rsidR="00C34242" w:rsidRPr="00012637">
        <w:rPr>
          <w:rFonts w:ascii="Palatino Linotype" w:hAnsi="Palatino Linotype" w:cs="Arial"/>
        </w:rPr>
        <w:t>o</w:t>
      </w:r>
      <w:r w:rsidRPr="00012637">
        <w:rPr>
          <w:rFonts w:ascii="Palatino Linotype" w:hAnsi="Palatino Linotype" w:cs="Arial"/>
        </w:rPr>
        <w:t xml:space="preserve"> </w:t>
      </w:r>
      <w:r w:rsidR="00C34242" w:rsidRPr="00012637">
        <w:rPr>
          <w:rFonts w:ascii="Palatino Linotype" w:hAnsi="Palatino Linotype" w:cs="Arial"/>
          <w:b/>
        </w:rPr>
        <w:t>JAVIER MARTÍNEZ CRUZ</w:t>
      </w:r>
      <w:r w:rsidRPr="00012637">
        <w:rPr>
          <w:rFonts w:ascii="Palatino Linotype" w:hAnsi="Palatino Linotype" w:cs="Arial"/>
        </w:rPr>
        <w:t>, que es del tenor siguiente.</w:t>
      </w:r>
    </w:p>
    <w:p w14:paraId="461C02B2" w14:textId="77777777" w:rsidR="00153E3A" w:rsidRPr="00012637" w:rsidRDefault="00153E3A" w:rsidP="00426458">
      <w:pPr>
        <w:spacing w:line="360" w:lineRule="auto"/>
        <w:jc w:val="both"/>
        <w:rPr>
          <w:rFonts w:ascii="Palatino Linotype" w:hAnsi="Palatino Linotype" w:cs="Arial"/>
        </w:rPr>
      </w:pPr>
    </w:p>
    <w:p w14:paraId="10BD052C" w14:textId="2AFDD6D9" w:rsidR="00153E3A" w:rsidRPr="00012637" w:rsidRDefault="00436D14" w:rsidP="00AD5C51">
      <w:pPr>
        <w:spacing w:line="360" w:lineRule="auto"/>
        <w:jc w:val="both"/>
        <w:rPr>
          <w:rFonts w:ascii="Palatino Linotype" w:hAnsi="Palatino Linotype"/>
        </w:rPr>
      </w:pPr>
      <w:r w:rsidRPr="00012637">
        <w:rPr>
          <w:rFonts w:ascii="Palatino Linotype" w:hAnsi="Palatino Linotype"/>
        </w:rPr>
        <w:t>Al respecto, tal y como quedó debidamente asentado en la resolución materia de</w:t>
      </w:r>
      <w:r w:rsidR="00004F8F" w:rsidRPr="00012637">
        <w:rPr>
          <w:rFonts w:ascii="Palatino Linotype" w:hAnsi="Palatino Linotype"/>
        </w:rPr>
        <w:t xml:space="preserve"> </w:t>
      </w:r>
      <w:r w:rsidRPr="00012637">
        <w:rPr>
          <w:rFonts w:ascii="Palatino Linotype" w:hAnsi="Palatino Linotype"/>
        </w:rPr>
        <w:t>l</w:t>
      </w:r>
      <w:r w:rsidR="00004F8F" w:rsidRPr="00012637">
        <w:rPr>
          <w:rFonts w:ascii="Palatino Linotype" w:hAnsi="Palatino Linotype"/>
        </w:rPr>
        <w:t>a presente opinión</w:t>
      </w:r>
      <w:r w:rsidRPr="00012637">
        <w:rPr>
          <w:rFonts w:ascii="Palatino Linotype" w:hAnsi="Palatino Linotype"/>
        </w:rPr>
        <w:t xml:space="preserve">, </w:t>
      </w:r>
      <w:r w:rsidR="001305C0" w:rsidRPr="00012637">
        <w:rPr>
          <w:rFonts w:ascii="Palatino Linotype" w:hAnsi="Palatino Linotype"/>
        </w:rPr>
        <w:t>la</w:t>
      </w:r>
      <w:r w:rsidRPr="00012637">
        <w:rPr>
          <w:rFonts w:ascii="Palatino Linotype" w:hAnsi="Palatino Linotype"/>
        </w:rPr>
        <w:t xml:space="preserve"> particular requirió de</w:t>
      </w:r>
      <w:r w:rsidR="00C34242" w:rsidRPr="00012637">
        <w:rPr>
          <w:rFonts w:ascii="Palatino Linotype" w:hAnsi="Palatino Linotype"/>
        </w:rPr>
        <w:t xml:space="preserve"> </w:t>
      </w:r>
      <w:r w:rsidRPr="00012637">
        <w:rPr>
          <w:rFonts w:ascii="Palatino Linotype" w:hAnsi="Palatino Linotype"/>
        </w:rPr>
        <w:t>l</w:t>
      </w:r>
      <w:r w:rsidR="00C34242" w:rsidRPr="00012637">
        <w:rPr>
          <w:rFonts w:ascii="Palatino Linotype" w:hAnsi="Palatino Linotype"/>
        </w:rPr>
        <w:t>a</w:t>
      </w:r>
      <w:r w:rsidRPr="00012637">
        <w:rPr>
          <w:rFonts w:ascii="Palatino Linotype" w:hAnsi="Palatino Linotype"/>
        </w:rPr>
        <w:t xml:space="preserve"> </w:t>
      </w:r>
      <w:r w:rsidR="00C34242" w:rsidRPr="00012637">
        <w:rPr>
          <w:rFonts w:ascii="Palatino Linotype" w:hAnsi="Palatino Linotype"/>
          <w:b/>
        </w:rPr>
        <w:t>Fiscalía General de Justicia del Estado de México</w:t>
      </w:r>
      <w:r w:rsidR="00875BD4" w:rsidRPr="00012637">
        <w:rPr>
          <w:rFonts w:ascii="Palatino Linotype" w:hAnsi="Palatino Linotype"/>
          <w:b/>
        </w:rPr>
        <w:t>,</w:t>
      </w:r>
      <w:r w:rsidRPr="00012637">
        <w:rPr>
          <w:rFonts w:ascii="Palatino Linotype" w:hAnsi="Palatino Linotype"/>
        </w:rPr>
        <w:t xml:space="preserve"> en lo subsecuente </w:t>
      </w:r>
      <w:r w:rsidR="009C1D41">
        <w:rPr>
          <w:rFonts w:ascii="Palatino Linotype" w:hAnsi="Palatino Linotype"/>
          <w:b/>
        </w:rPr>
        <w:t xml:space="preserve">EL </w:t>
      </w:r>
      <w:r w:rsidRPr="00012637">
        <w:rPr>
          <w:rFonts w:ascii="Palatino Linotype" w:hAnsi="Palatino Linotype"/>
          <w:b/>
        </w:rPr>
        <w:t>SUJETO OBLIGADO,</w:t>
      </w:r>
      <w:r w:rsidR="009C1D41">
        <w:rPr>
          <w:rFonts w:ascii="Palatino Linotype" w:hAnsi="Palatino Linotype"/>
        </w:rPr>
        <w:t xml:space="preserve"> el acceso a la averiguación previa</w:t>
      </w:r>
      <w:r w:rsidR="00D5137E" w:rsidRPr="00012637">
        <w:rPr>
          <w:rFonts w:ascii="Palatino Linotype" w:hAnsi="Palatino Linotype"/>
        </w:rPr>
        <w:t xml:space="preserve"> integrada con motivo de un percance automovilístico en abril de 2008 en el que se vio afectada la ahora </w:t>
      </w:r>
      <w:r w:rsidR="00D5137E" w:rsidRPr="00012637">
        <w:rPr>
          <w:rFonts w:ascii="Palatino Linotype" w:hAnsi="Palatino Linotype"/>
          <w:b/>
        </w:rPr>
        <w:t>RECURRENTE</w:t>
      </w:r>
      <w:r w:rsidR="00D5137E" w:rsidRPr="00012637">
        <w:rPr>
          <w:rFonts w:ascii="Palatino Linotype" w:hAnsi="Palatino Linotype"/>
        </w:rPr>
        <w:t>.</w:t>
      </w:r>
    </w:p>
    <w:p w14:paraId="5F6FABCC" w14:textId="77777777" w:rsidR="00AD5C51" w:rsidRPr="00012637" w:rsidRDefault="00AD5C51" w:rsidP="00AD5C51">
      <w:pPr>
        <w:spacing w:line="360" w:lineRule="auto"/>
        <w:jc w:val="both"/>
        <w:rPr>
          <w:rFonts w:ascii="Palatino Linotype" w:hAnsi="Palatino Linotype"/>
        </w:rPr>
      </w:pPr>
    </w:p>
    <w:p w14:paraId="3E7C26F3" w14:textId="6A2437B6" w:rsidR="00153E3A" w:rsidRPr="00012637" w:rsidRDefault="00436D14" w:rsidP="00426458">
      <w:pPr>
        <w:spacing w:line="360" w:lineRule="auto"/>
        <w:jc w:val="both"/>
        <w:rPr>
          <w:rFonts w:ascii="Palatino Linotype" w:hAnsi="Palatino Linotype" w:cs="Arial"/>
        </w:rPr>
      </w:pPr>
      <w:r w:rsidRPr="00012637">
        <w:rPr>
          <w:rFonts w:ascii="Palatino Linotype" w:hAnsi="Palatino Linotype" w:cs="Arial"/>
        </w:rPr>
        <w:lastRenderedPageBreak/>
        <w:t>De las constancias que obran dentro del expediente electrónico del Sistema de Acceso a la Información Mexiquense</w:t>
      </w:r>
      <w:r w:rsidR="00004F8F" w:rsidRPr="00012637">
        <w:rPr>
          <w:rFonts w:ascii="Palatino Linotype" w:hAnsi="Palatino Linotype" w:cs="Arial"/>
        </w:rPr>
        <w:t>,</w:t>
      </w:r>
      <w:r w:rsidRPr="00012637">
        <w:rPr>
          <w:rFonts w:ascii="Palatino Linotype" w:hAnsi="Palatino Linotype" w:cs="Arial"/>
        </w:rPr>
        <w:t xml:space="preserve"> en lo sucesivo el </w:t>
      </w:r>
      <w:r w:rsidRPr="00012637">
        <w:rPr>
          <w:rFonts w:ascii="Palatino Linotype" w:hAnsi="Palatino Linotype" w:cs="Arial"/>
          <w:b/>
        </w:rPr>
        <w:t>SAIMEX,</w:t>
      </w:r>
      <w:r w:rsidRPr="00012637">
        <w:rPr>
          <w:rFonts w:ascii="Palatino Linotype" w:hAnsi="Palatino Linotype" w:cs="Arial"/>
        </w:rPr>
        <w:t xml:space="preserve"> se advierte que </w:t>
      </w:r>
      <w:r w:rsidRPr="00012637">
        <w:rPr>
          <w:rFonts w:ascii="Palatino Linotype" w:hAnsi="Palatino Linotype" w:cs="Arial"/>
          <w:b/>
        </w:rPr>
        <w:t xml:space="preserve">EL SUJETO OBLIGADO </w:t>
      </w:r>
      <w:r w:rsidR="00CC7F23" w:rsidRPr="00012637">
        <w:rPr>
          <w:rFonts w:ascii="Palatino Linotype" w:hAnsi="Palatino Linotype" w:cs="Arial"/>
        </w:rPr>
        <w:t xml:space="preserve">informó que </w:t>
      </w:r>
      <w:r w:rsidR="00AD5C51" w:rsidRPr="00012637">
        <w:rPr>
          <w:rFonts w:ascii="Palatino Linotype" w:hAnsi="Palatino Linotype" w:cs="Arial"/>
        </w:rPr>
        <w:t>de acuerdo a lo informado por el Servidor Público Habilitado, fue localizada la averiguación previa número TEC/III/1654/2008, misma que coincide con los datos proporcionados en la solicitud; sin embargo, en su carácter de denunciante,  puede consultar los avances de la investigación, directamente ante la autoridad ministerial que conoce del asunto, ya que únicamente pueden tener acceso a la Averiguación Previa el ofendido, la víctima, el indiciado y su defensor, de conformidad con el artículo 118 del Código de Procedimientos Penales.</w:t>
      </w:r>
    </w:p>
    <w:p w14:paraId="0A7A3602" w14:textId="77777777" w:rsidR="00AD5C51" w:rsidRPr="00012637" w:rsidRDefault="00AD5C51" w:rsidP="00426458">
      <w:pPr>
        <w:spacing w:line="360" w:lineRule="auto"/>
        <w:jc w:val="both"/>
        <w:rPr>
          <w:rFonts w:ascii="Palatino Linotype" w:hAnsi="Palatino Linotype" w:cs="Arial"/>
        </w:rPr>
      </w:pPr>
    </w:p>
    <w:p w14:paraId="1CB0EAC5" w14:textId="51611A32" w:rsidR="00AD5C51" w:rsidRPr="00012637" w:rsidRDefault="00C42F33" w:rsidP="00426458">
      <w:pPr>
        <w:spacing w:line="360" w:lineRule="auto"/>
        <w:jc w:val="both"/>
        <w:rPr>
          <w:rFonts w:ascii="Palatino Linotype" w:hAnsi="Palatino Linotype" w:cs="Arial"/>
        </w:rPr>
      </w:pPr>
      <w:r w:rsidRPr="00012637">
        <w:rPr>
          <w:rFonts w:ascii="Palatino Linotype" w:hAnsi="Palatino Linotype" w:cs="Arial"/>
        </w:rPr>
        <w:t>Inconforme con la r</w:t>
      </w:r>
      <w:r w:rsidR="008B5854">
        <w:rPr>
          <w:rFonts w:ascii="Palatino Linotype" w:hAnsi="Palatino Linotype" w:cs="Arial"/>
        </w:rPr>
        <w:t xml:space="preserve">espuesta, </w:t>
      </w:r>
      <w:r w:rsidR="001305C0" w:rsidRPr="00012637">
        <w:rPr>
          <w:rFonts w:ascii="Palatino Linotype" w:hAnsi="Palatino Linotype" w:cs="Arial"/>
          <w:b/>
        </w:rPr>
        <w:t>LA</w:t>
      </w:r>
      <w:r w:rsidR="00436D14" w:rsidRPr="00012637">
        <w:rPr>
          <w:rFonts w:ascii="Palatino Linotype" w:hAnsi="Palatino Linotype" w:cs="Arial"/>
          <w:b/>
        </w:rPr>
        <w:t xml:space="preserve"> RECURRENTE</w:t>
      </w:r>
      <w:r w:rsidR="00436D14" w:rsidRPr="00012637">
        <w:rPr>
          <w:rFonts w:ascii="Palatino Linotype" w:hAnsi="Palatino Linotype" w:cs="Arial"/>
        </w:rPr>
        <w:t xml:space="preserve"> en la interposición del r</w:t>
      </w:r>
      <w:r w:rsidRPr="00012637">
        <w:rPr>
          <w:rFonts w:ascii="Palatino Linotype" w:hAnsi="Palatino Linotype" w:cs="Arial"/>
        </w:rPr>
        <w:t>ecurso de revisión de mérito se pronunció respecto a</w:t>
      </w:r>
      <w:r w:rsidR="00AD5C51" w:rsidRPr="00012637">
        <w:rPr>
          <w:rFonts w:ascii="Palatino Linotype" w:hAnsi="Palatino Linotype" w:cs="Arial"/>
        </w:rPr>
        <w:t xml:space="preserve"> la negativa </w:t>
      </w:r>
      <w:r w:rsidR="008B5854">
        <w:rPr>
          <w:rFonts w:ascii="Palatino Linotype" w:hAnsi="Palatino Linotype" w:cs="Arial"/>
        </w:rPr>
        <w:t xml:space="preserve"> del </w:t>
      </w:r>
      <w:r w:rsidR="008B5854" w:rsidRPr="008B5854">
        <w:rPr>
          <w:rFonts w:ascii="Palatino Linotype" w:hAnsi="Palatino Linotype" w:cs="Arial"/>
          <w:b/>
        </w:rPr>
        <w:t>SUJETO OBLIGADO</w:t>
      </w:r>
      <w:r w:rsidR="008B5854">
        <w:rPr>
          <w:rFonts w:ascii="Palatino Linotype" w:hAnsi="Palatino Linotype" w:cs="Arial"/>
        </w:rPr>
        <w:t xml:space="preserve"> par</w:t>
      </w:r>
      <w:r w:rsidR="00AD5C51" w:rsidRPr="00012637">
        <w:rPr>
          <w:rFonts w:ascii="Palatino Linotype" w:hAnsi="Palatino Linotype" w:cs="Arial"/>
        </w:rPr>
        <w:t>a proporcionarle la información.</w:t>
      </w:r>
    </w:p>
    <w:p w14:paraId="78CC97EC" w14:textId="77777777" w:rsidR="00AD5C51" w:rsidRPr="00012637" w:rsidRDefault="00AD5C51" w:rsidP="00426458">
      <w:pPr>
        <w:spacing w:line="360" w:lineRule="auto"/>
        <w:jc w:val="both"/>
        <w:rPr>
          <w:rFonts w:ascii="Palatino Linotype" w:hAnsi="Palatino Linotype" w:cs="Arial"/>
        </w:rPr>
      </w:pPr>
    </w:p>
    <w:p w14:paraId="6B47EFD5" w14:textId="23DD1D62" w:rsidR="00AD5C51" w:rsidRPr="00012637" w:rsidRDefault="00436D14" w:rsidP="00426458">
      <w:pPr>
        <w:spacing w:line="360" w:lineRule="auto"/>
        <w:jc w:val="both"/>
        <w:rPr>
          <w:rFonts w:ascii="Palatino Linotype" w:hAnsi="Palatino Linotype" w:cs="Arial"/>
          <w:b/>
        </w:rPr>
      </w:pPr>
      <w:r w:rsidRPr="00012637">
        <w:rPr>
          <w:rFonts w:ascii="Palatino Linotype" w:hAnsi="Palatino Linotype" w:cs="Arial"/>
        </w:rPr>
        <w:t xml:space="preserve">Atento a lo anterior, la Ponencia </w:t>
      </w:r>
      <w:proofErr w:type="spellStart"/>
      <w:r w:rsidRPr="00012637">
        <w:rPr>
          <w:rFonts w:ascii="Palatino Linotype" w:hAnsi="Palatino Linotype" w:cs="Arial"/>
        </w:rPr>
        <w:t>Resolutora</w:t>
      </w:r>
      <w:proofErr w:type="spellEnd"/>
      <w:r w:rsidRPr="00012637">
        <w:rPr>
          <w:rFonts w:ascii="Palatino Linotype" w:hAnsi="Palatino Linotype" w:cs="Arial"/>
        </w:rPr>
        <w:t xml:space="preserve"> </w:t>
      </w:r>
      <w:r w:rsidR="00AD5C51" w:rsidRPr="00012637">
        <w:rPr>
          <w:rFonts w:ascii="Palatino Linotype" w:hAnsi="Palatino Linotype" w:cs="Arial"/>
        </w:rPr>
        <w:t>calificó como infundad</w:t>
      </w:r>
      <w:r w:rsidR="008B5854">
        <w:rPr>
          <w:rFonts w:ascii="Palatino Linotype" w:hAnsi="Palatino Linotype" w:cs="Arial"/>
        </w:rPr>
        <w:t>a</w:t>
      </w:r>
      <w:r w:rsidR="00AD5C51" w:rsidRPr="00012637">
        <w:rPr>
          <w:rFonts w:ascii="Palatino Linotype" w:hAnsi="Palatino Linotype" w:cs="Arial"/>
        </w:rPr>
        <w:t xml:space="preserve">s las razones y </w:t>
      </w:r>
      <w:r w:rsidR="008B5854">
        <w:rPr>
          <w:rFonts w:ascii="Palatino Linotype" w:hAnsi="Palatino Linotype" w:cs="Arial"/>
        </w:rPr>
        <w:t>motivos de inconformidad aducida</w:t>
      </w:r>
      <w:r w:rsidR="00AD5C51" w:rsidRPr="00012637">
        <w:rPr>
          <w:rFonts w:ascii="Palatino Linotype" w:hAnsi="Palatino Linotype" w:cs="Arial"/>
        </w:rPr>
        <w:t xml:space="preserve">s por </w:t>
      </w:r>
      <w:r w:rsidR="001305C0" w:rsidRPr="00012637">
        <w:rPr>
          <w:rFonts w:ascii="Palatino Linotype" w:hAnsi="Palatino Linotype" w:cs="Arial"/>
          <w:b/>
        </w:rPr>
        <w:t>LA</w:t>
      </w:r>
      <w:r w:rsidR="001305C0" w:rsidRPr="00012637">
        <w:rPr>
          <w:rFonts w:ascii="Palatino Linotype" w:hAnsi="Palatino Linotype" w:cs="Arial"/>
        </w:rPr>
        <w:t xml:space="preserve"> </w:t>
      </w:r>
      <w:r w:rsidR="00AD5C51" w:rsidRPr="00012637">
        <w:rPr>
          <w:rFonts w:ascii="Palatino Linotype" w:hAnsi="Palatino Linotype" w:cs="Arial"/>
          <w:b/>
        </w:rPr>
        <w:t>RECURRENTE</w:t>
      </w:r>
      <w:r w:rsidR="00AD5C51" w:rsidRPr="00012637">
        <w:rPr>
          <w:rFonts w:ascii="Palatino Linotype" w:hAnsi="Palatino Linotype" w:cs="Arial"/>
        </w:rPr>
        <w:t xml:space="preserve"> y </w:t>
      </w:r>
      <w:r w:rsidRPr="00012637">
        <w:rPr>
          <w:rFonts w:ascii="Palatino Linotype" w:hAnsi="Palatino Linotype" w:cs="Arial"/>
        </w:rPr>
        <w:t xml:space="preserve">determinó </w:t>
      </w:r>
      <w:r w:rsidR="00AD5C51" w:rsidRPr="00012637">
        <w:rPr>
          <w:rFonts w:ascii="Palatino Linotype" w:hAnsi="Palatino Linotype" w:cs="Arial"/>
          <w:b/>
        </w:rPr>
        <w:t>CONFIRMAR</w:t>
      </w:r>
      <w:r w:rsidR="009124C5" w:rsidRPr="00012637">
        <w:rPr>
          <w:rFonts w:ascii="Palatino Linotype" w:hAnsi="Palatino Linotype" w:cs="Arial"/>
          <w:b/>
        </w:rPr>
        <w:t xml:space="preserve"> </w:t>
      </w:r>
      <w:r w:rsidR="009124C5" w:rsidRPr="00012637">
        <w:rPr>
          <w:rFonts w:ascii="Palatino Linotype" w:hAnsi="Palatino Linotype" w:cs="Arial"/>
        </w:rPr>
        <w:t>la respuesta del</w:t>
      </w:r>
      <w:r w:rsidRPr="00012637">
        <w:rPr>
          <w:rFonts w:ascii="Palatino Linotype" w:hAnsi="Palatino Linotype" w:cs="Arial"/>
        </w:rPr>
        <w:t xml:space="preserve"> </w:t>
      </w:r>
      <w:r w:rsidRPr="00012637">
        <w:rPr>
          <w:rFonts w:ascii="Palatino Linotype" w:hAnsi="Palatino Linotype" w:cs="Arial"/>
          <w:b/>
        </w:rPr>
        <w:t>SUJETO OBLIGADO</w:t>
      </w:r>
      <w:r w:rsidR="00AD5C51" w:rsidRPr="00012637">
        <w:rPr>
          <w:rFonts w:ascii="Palatino Linotype" w:hAnsi="Palatino Linotype" w:cs="Arial"/>
          <w:b/>
        </w:rPr>
        <w:t>.</w:t>
      </w:r>
    </w:p>
    <w:p w14:paraId="042D85CD" w14:textId="184C79FF" w:rsidR="00333F03" w:rsidRPr="00012637" w:rsidRDefault="00333F03" w:rsidP="00426458">
      <w:pPr>
        <w:spacing w:line="360" w:lineRule="auto"/>
        <w:jc w:val="both"/>
        <w:rPr>
          <w:rFonts w:ascii="Palatino Linotype" w:hAnsi="Palatino Linotype" w:cs="Arial"/>
        </w:rPr>
      </w:pPr>
    </w:p>
    <w:p w14:paraId="029EF378" w14:textId="541A575B" w:rsidR="00E60FF4" w:rsidRPr="00012637" w:rsidRDefault="000C7675" w:rsidP="001305C0">
      <w:pPr>
        <w:spacing w:line="360" w:lineRule="auto"/>
        <w:jc w:val="both"/>
        <w:rPr>
          <w:rFonts w:ascii="Palatino Linotype" w:hAnsi="Palatino Linotype" w:cs="Arial"/>
        </w:rPr>
      </w:pPr>
      <w:r w:rsidRPr="00012637">
        <w:rPr>
          <w:rFonts w:ascii="Palatino Linotype" w:hAnsi="Palatino Linotype" w:cs="Arial"/>
        </w:rPr>
        <w:t>En ese sentido, la que suscribe coincide con el proyecto en lo general, así como con el est</w:t>
      </w:r>
      <w:r w:rsidR="00004F8F" w:rsidRPr="00012637">
        <w:rPr>
          <w:rFonts w:ascii="Palatino Linotype" w:hAnsi="Palatino Linotype" w:cs="Arial"/>
        </w:rPr>
        <w:t>udio de la resolución en comento;</w:t>
      </w:r>
      <w:r w:rsidRPr="00012637">
        <w:rPr>
          <w:rFonts w:ascii="Palatino Linotype" w:hAnsi="Palatino Linotype" w:cs="Arial"/>
        </w:rPr>
        <w:t xml:space="preserve"> </w:t>
      </w:r>
      <w:r w:rsidR="00004F8F" w:rsidRPr="00012637">
        <w:rPr>
          <w:rFonts w:ascii="Palatino Linotype" w:hAnsi="Palatino Linotype" w:cs="Arial"/>
        </w:rPr>
        <w:t>y en atención a ello</w:t>
      </w:r>
      <w:r w:rsidRPr="00012637">
        <w:rPr>
          <w:rFonts w:ascii="Palatino Linotype" w:hAnsi="Palatino Linotype" w:cs="Arial"/>
        </w:rPr>
        <w:t>, estimo necesario precisar algunas consideraciones</w:t>
      </w:r>
      <w:r w:rsidR="001305C0" w:rsidRPr="00012637">
        <w:rPr>
          <w:rFonts w:ascii="Palatino Linotype" w:hAnsi="Palatino Linotype" w:cs="Arial"/>
        </w:rPr>
        <w:t xml:space="preserve"> de hecho y de derecho respecto al acceso a la averiguación previa que pretende la ciudadana.</w:t>
      </w:r>
    </w:p>
    <w:p w14:paraId="4559FB4C" w14:textId="2EA86520" w:rsidR="00E60FF4" w:rsidRPr="00012637" w:rsidRDefault="00A67C9B" w:rsidP="00E60FF4">
      <w:pPr>
        <w:widowControl w:val="0"/>
        <w:autoSpaceDE w:val="0"/>
        <w:autoSpaceDN w:val="0"/>
        <w:adjustRightInd w:val="0"/>
        <w:spacing w:line="360" w:lineRule="auto"/>
        <w:jc w:val="both"/>
        <w:rPr>
          <w:rFonts w:ascii="Palatino Linotype" w:eastAsia="Calibri" w:hAnsi="Palatino Linotype" w:cs="Arial"/>
        </w:rPr>
      </w:pPr>
      <w:r w:rsidRPr="00012637">
        <w:rPr>
          <w:rFonts w:ascii="Palatino Linotype" w:eastAsia="Calibri" w:hAnsi="Palatino Linotype" w:cs="Arial"/>
        </w:rPr>
        <w:lastRenderedPageBreak/>
        <w:t>Así, es que s</w:t>
      </w:r>
      <w:r w:rsidR="00F33012" w:rsidRPr="00012637">
        <w:rPr>
          <w:rFonts w:ascii="Palatino Linotype" w:eastAsia="Calibri" w:hAnsi="Palatino Linotype" w:cs="Arial"/>
        </w:rPr>
        <w:t xml:space="preserve">e considera que la respuesta emitida por la Fiscalía de esta Entidad resulta procedente y conforme a derecho toda vez que conforme al </w:t>
      </w:r>
      <w:r w:rsidRPr="00012637">
        <w:rPr>
          <w:rFonts w:ascii="Palatino Linotype" w:eastAsia="Calibri" w:hAnsi="Palatino Linotype" w:cs="Arial"/>
        </w:rPr>
        <w:t>artículo</w:t>
      </w:r>
      <w:r w:rsidR="00F33012" w:rsidRPr="00012637">
        <w:rPr>
          <w:rFonts w:ascii="Palatino Linotype" w:eastAsia="Calibri" w:hAnsi="Palatino Linotype" w:cs="Arial"/>
        </w:rPr>
        <w:t xml:space="preserve"> 143 de la </w:t>
      </w:r>
      <w:r w:rsidRPr="00012637">
        <w:rPr>
          <w:rFonts w:ascii="Palatino Linotype" w:eastAsia="Calibri" w:hAnsi="Palatino Linotype" w:cs="Arial"/>
        </w:rPr>
        <w:t>Constitución Política del Estado Libre y Soberano de México</w:t>
      </w:r>
      <w:r w:rsidR="00F33012" w:rsidRPr="00012637">
        <w:rPr>
          <w:rFonts w:ascii="Palatino Linotype" w:eastAsia="Calibri" w:hAnsi="Palatino Linotype" w:cs="Arial"/>
        </w:rPr>
        <w:t xml:space="preserve">, las autoridades solamente se encuentran facultadas para realizar lo que expresamente se estipula en las normas jurídicas aplicables, por lo que se </w:t>
      </w:r>
      <w:r w:rsidRPr="00012637">
        <w:rPr>
          <w:rFonts w:ascii="Palatino Linotype" w:eastAsia="Calibri" w:hAnsi="Palatino Linotype" w:cs="Arial"/>
        </w:rPr>
        <w:t>coincide en</w:t>
      </w:r>
      <w:r w:rsidR="00F33012" w:rsidRPr="00012637">
        <w:rPr>
          <w:rFonts w:ascii="Palatino Linotype" w:eastAsia="Calibri" w:hAnsi="Palatino Linotype" w:cs="Arial"/>
        </w:rPr>
        <w:t xml:space="preserve"> que el sentido de la resolución debe ser </w:t>
      </w:r>
      <w:r w:rsidR="00F33012" w:rsidRPr="00012637">
        <w:rPr>
          <w:rFonts w:ascii="Palatino Linotype" w:eastAsia="Calibri" w:hAnsi="Palatino Linotype" w:cs="Arial"/>
          <w:b/>
        </w:rPr>
        <w:t>CONFIRMA</w:t>
      </w:r>
      <w:r w:rsidR="00F33012" w:rsidRPr="00012637">
        <w:rPr>
          <w:rFonts w:ascii="Palatino Linotype" w:eastAsia="Calibri" w:hAnsi="Palatino Linotype" w:cs="Arial"/>
        </w:rPr>
        <w:t xml:space="preserve"> puesto que para pretender acceder a una averiguación previa de la que se es parte se debe acreditar </w:t>
      </w:r>
      <w:r w:rsidR="005804E5">
        <w:rPr>
          <w:rFonts w:ascii="Palatino Linotype" w:eastAsia="Calibri" w:hAnsi="Palatino Linotype" w:cs="Arial"/>
        </w:rPr>
        <w:t>la legitimidad mediante un trámite específico</w:t>
      </w:r>
      <w:r w:rsidR="00F33012" w:rsidRPr="00012637">
        <w:rPr>
          <w:rFonts w:ascii="Palatino Linotype" w:eastAsia="Calibri" w:hAnsi="Palatino Linotype" w:cs="Arial"/>
        </w:rPr>
        <w:t>.</w:t>
      </w:r>
    </w:p>
    <w:p w14:paraId="540D5213" w14:textId="77777777" w:rsidR="00F33012" w:rsidRPr="00012637" w:rsidRDefault="00F33012" w:rsidP="00E60FF4">
      <w:pPr>
        <w:widowControl w:val="0"/>
        <w:autoSpaceDE w:val="0"/>
        <w:autoSpaceDN w:val="0"/>
        <w:adjustRightInd w:val="0"/>
        <w:spacing w:line="360" w:lineRule="auto"/>
        <w:jc w:val="both"/>
        <w:rPr>
          <w:rFonts w:ascii="Palatino Linotype" w:eastAsia="Calibri" w:hAnsi="Palatino Linotype" w:cs="Arial"/>
        </w:rPr>
      </w:pPr>
    </w:p>
    <w:p w14:paraId="45A19E32" w14:textId="501A4667" w:rsidR="00F33012" w:rsidRPr="00012637" w:rsidRDefault="00F33012" w:rsidP="00E60FF4">
      <w:pPr>
        <w:widowControl w:val="0"/>
        <w:autoSpaceDE w:val="0"/>
        <w:autoSpaceDN w:val="0"/>
        <w:adjustRightInd w:val="0"/>
        <w:spacing w:line="360" w:lineRule="auto"/>
        <w:jc w:val="both"/>
        <w:rPr>
          <w:rFonts w:ascii="Palatino Linotype" w:eastAsia="Calibri" w:hAnsi="Palatino Linotype" w:cs="Arial"/>
        </w:rPr>
      </w:pPr>
      <w:r w:rsidRPr="00012637">
        <w:rPr>
          <w:rFonts w:ascii="Palatino Linotype" w:eastAsia="Calibri" w:hAnsi="Palatino Linotype" w:cs="Arial"/>
        </w:rPr>
        <w:t xml:space="preserve">Es por lo anterior, que se coincide con lo argumentado por la Fiscalía en mención, puesto que le corresponde al Ministerio Público otorgar el acceso a las partes de la averiguación previa puesto que expresamente el articulo 118 del </w:t>
      </w:r>
      <w:r w:rsidR="00A67C9B" w:rsidRPr="00012637">
        <w:rPr>
          <w:rFonts w:ascii="Palatino Linotype" w:eastAsia="Calibri" w:hAnsi="Palatino Linotype" w:cs="Arial"/>
        </w:rPr>
        <w:t xml:space="preserve">Código </w:t>
      </w:r>
      <w:r w:rsidRPr="00012637">
        <w:rPr>
          <w:rFonts w:ascii="Palatino Linotype" w:eastAsia="Calibri" w:hAnsi="Palatino Linotype" w:cs="Arial"/>
        </w:rPr>
        <w:t xml:space="preserve">de </w:t>
      </w:r>
      <w:r w:rsidR="00A67C9B" w:rsidRPr="00012637">
        <w:rPr>
          <w:rFonts w:ascii="Palatino Linotype" w:eastAsia="Calibri" w:hAnsi="Palatino Linotype" w:cs="Arial"/>
        </w:rPr>
        <w:t xml:space="preserve">Procedimientos Penales </w:t>
      </w:r>
      <w:r w:rsidRPr="00012637">
        <w:rPr>
          <w:rFonts w:ascii="Palatino Linotype" w:eastAsia="Calibri" w:hAnsi="Palatino Linotype" w:cs="Arial"/>
        </w:rPr>
        <w:t xml:space="preserve">vigente en el año de 2008 y aplicable para el asunto </w:t>
      </w:r>
      <w:r w:rsidR="00A67C9B" w:rsidRPr="00012637">
        <w:rPr>
          <w:rFonts w:ascii="Palatino Linotype" w:eastAsia="Calibri" w:hAnsi="Palatino Linotype" w:cs="Arial"/>
        </w:rPr>
        <w:t>que</w:t>
      </w:r>
      <w:r w:rsidRPr="00012637">
        <w:rPr>
          <w:rFonts w:ascii="Palatino Linotype" w:eastAsia="Calibri" w:hAnsi="Palatino Linotype" w:cs="Arial"/>
        </w:rPr>
        <w:t xml:space="preserve"> nos ocupa menciona que “solo podrá tener acceso a ellas el </w:t>
      </w:r>
      <w:r w:rsidRPr="00012637">
        <w:rPr>
          <w:rFonts w:ascii="Palatino Linotype" w:eastAsia="Calibri" w:hAnsi="Palatino Linotype" w:cs="Arial"/>
          <w:b/>
        </w:rPr>
        <w:t xml:space="preserve">ofendido, la </w:t>
      </w:r>
      <w:r w:rsidR="00016039" w:rsidRPr="00012637">
        <w:rPr>
          <w:rFonts w:ascii="Palatino Linotype" w:eastAsia="Calibri" w:hAnsi="Palatino Linotype" w:cs="Arial"/>
          <w:b/>
        </w:rPr>
        <w:t>víctima</w:t>
      </w:r>
      <w:r w:rsidRPr="00012637">
        <w:rPr>
          <w:rFonts w:ascii="Palatino Linotype" w:eastAsia="Calibri" w:hAnsi="Palatino Linotype" w:cs="Arial"/>
          <w:b/>
        </w:rPr>
        <w:t xml:space="preserve">, el </w:t>
      </w:r>
      <w:r w:rsidR="00016039" w:rsidRPr="00012637">
        <w:rPr>
          <w:rFonts w:ascii="Palatino Linotype" w:eastAsia="Calibri" w:hAnsi="Palatino Linotype" w:cs="Arial"/>
          <w:b/>
        </w:rPr>
        <w:t>indiciado</w:t>
      </w:r>
      <w:r w:rsidRPr="00012637">
        <w:rPr>
          <w:rFonts w:ascii="Palatino Linotype" w:eastAsia="Calibri" w:hAnsi="Palatino Linotype" w:cs="Arial"/>
          <w:b/>
        </w:rPr>
        <w:t xml:space="preserve"> y su defensor</w:t>
      </w:r>
      <w:r w:rsidRPr="00012637">
        <w:rPr>
          <w:rFonts w:ascii="Palatino Linotype" w:eastAsia="Calibri" w:hAnsi="Palatino Linotype" w:cs="Arial"/>
        </w:rPr>
        <w:t>.”</w:t>
      </w:r>
    </w:p>
    <w:p w14:paraId="78916394" w14:textId="77777777" w:rsidR="00F33012" w:rsidRPr="00012637" w:rsidRDefault="00F33012" w:rsidP="00E60FF4">
      <w:pPr>
        <w:widowControl w:val="0"/>
        <w:autoSpaceDE w:val="0"/>
        <w:autoSpaceDN w:val="0"/>
        <w:adjustRightInd w:val="0"/>
        <w:spacing w:line="360" w:lineRule="auto"/>
        <w:jc w:val="both"/>
        <w:rPr>
          <w:rFonts w:ascii="Palatino Linotype" w:eastAsia="Calibri" w:hAnsi="Palatino Linotype" w:cs="Arial"/>
        </w:rPr>
      </w:pPr>
    </w:p>
    <w:p w14:paraId="280A6854" w14:textId="3D719B98" w:rsidR="00E60FF4" w:rsidRPr="00012637" w:rsidRDefault="00E60FF4" w:rsidP="00E60FF4">
      <w:pPr>
        <w:widowControl w:val="0"/>
        <w:autoSpaceDE w:val="0"/>
        <w:autoSpaceDN w:val="0"/>
        <w:adjustRightInd w:val="0"/>
        <w:spacing w:line="360" w:lineRule="auto"/>
        <w:jc w:val="both"/>
        <w:rPr>
          <w:rFonts w:ascii="Palatino Linotype" w:eastAsia="Calibri" w:hAnsi="Palatino Linotype" w:cs="Arial"/>
        </w:rPr>
      </w:pPr>
      <w:r w:rsidRPr="00012637">
        <w:rPr>
          <w:rFonts w:ascii="Palatino Linotype" w:eastAsia="Calibri" w:hAnsi="Palatino Linotype" w:cs="Arial"/>
        </w:rPr>
        <w:t>Es así que</w:t>
      </w:r>
      <w:r w:rsidR="00016039" w:rsidRPr="00012637">
        <w:rPr>
          <w:rFonts w:ascii="Palatino Linotype" w:eastAsia="Calibri" w:hAnsi="Palatino Linotype" w:cs="Arial"/>
        </w:rPr>
        <w:t>,</w:t>
      </w:r>
      <w:r w:rsidRPr="00012637">
        <w:rPr>
          <w:rFonts w:ascii="Palatino Linotype" w:eastAsia="Calibri" w:hAnsi="Palatino Linotype" w:cs="Arial"/>
        </w:rPr>
        <w:t xml:space="preserve"> </w:t>
      </w:r>
      <w:r w:rsidR="00016039" w:rsidRPr="00012637">
        <w:rPr>
          <w:rFonts w:ascii="Palatino Linotype" w:eastAsia="Calibri" w:hAnsi="Palatino Linotype" w:cs="Arial"/>
        </w:rPr>
        <w:t>se</w:t>
      </w:r>
      <w:r w:rsidRPr="00012637">
        <w:rPr>
          <w:rFonts w:ascii="Palatino Linotype" w:eastAsia="Calibri" w:hAnsi="Palatino Linotype" w:cs="Arial"/>
        </w:rPr>
        <w:t xml:space="preserve"> podrá permitir el acceso total o parcial bajo la más estricta responsabilidad a efecto de emitir las actuaciones que a su derecho convengan; esto, siempre que se forme parte del procedimiento</w:t>
      </w:r>
      <w:r w:rsidR="00016039" w:rsidRPr="00012637">
        <w:rPr>
          <w:rFonts w:ascii="Palatino Linotype" w:eastAsia="Calibri" w:hAnsi="Palatino Linotype" w:cs="Arial"/>
        </w:rPr>
        <w:t xml:space="preserve"> de que se trate</w:t>
      </w:r>
      <w:r w:rsidRPr="00012637">
        <w:rPr>
          <w:rFonts w:ascii="Palatino Linotype" w:eastAsia="Calibri" w:hAnsi="Palatino Linotype" w:cs="Arial"/>
        </w:rPr>
        <w:t xml:space="preserve"> y darle atención a la debida y adecuada defensa. Asimismo, si la per</w:t>
      </w:r>
      <w:r w:rsidR="005804E5">
        <w:rPr>
          <w:rFonts w:ascii="Palatino Linotype" w:eastAsia="Calibri" w:hAnsi="Palatino Linotype" w:cs="Arial"/>
        </w:rPr>
        <w:t xml:space="preserve">sona que desea tener acceso a una averiguación previa </w:t>
      </w:r>
      <w:r w:rsidRPr="00012637">
        <w:rPr>
          <w:rFonts w:ascii="Palatino Linotype" w:eastAsia="Calibri" w:hAnsi="Palatino Linotype" w:cs="Arial"/>
        </w:rPr>
        <w:t xml:space="preserve">no intervino en el asunto, es inminente la ausencia de interés jurídico para acceder a tales actuaciones, lo que conlleva a una restricción permisiva por la propia </w:t>
      </w:r>
      <w:r w:rsidR="00A67C9B" w:rsidRPr="00012637">
        <w:rPr>
          <w:rFonts w:ascii="Palatino Linotype" w:eastAsia="Calibri" w:hAnsi="Palatino Linotype" w:cs="Arial"/>
        </w:rPr>
        <w:t>L</w:t>
      </w:r>
      <w:r w:rsidRPr="00012637">
        <w:rPr>
          <w:rFonts w:ascii="Palatino Linotype" w:eastAsia="Calibri" w:hAnsi="Palatino Linotype" w:cs="Arial"/>
        </w:rPr>
        <w:t xml:space="preserve">ey, es decir, la clasificación de la información, misma que no está </w:t>
      </w:r>
      <w:r w:rsidRPr="00012637">
        <w:rPr>
          <w:rFonts w:ascii="Palatino Linotype" w:eastAsia="Calibri" w:hAnsi="Palatino Linotype" w:cs="Arial"/>
        </w:rPr>
        <w:lastRenderedPageBreak/>
        <w:t xml:space="preserve">encaminada a impedir la defensa adecuada sino por el contrario, garantizar la protección de datos personales </w:t>
      </w:r>
      <w:r w:rsidR="00A67C9B" w:rsidRPr="00012637">
        <w:rPr>
          <w:rFonts w:ascii="Palatino Linotype" w:eastAsia="Calibri" w:hAnsi="Palatino Linotype" w:cs="Arial"/>
        </w:rPr>
        <w:t xml:space="preserve">de las partes </w:t>
      </w:r>
      <w:r w:rsidRPr="00012637">
        <w:rPr>
          <w:rFonts w:ascii="Palatino Linotype" w:eastAsia="Calibri" w:hAnsi="Palatino Linotype" w:cs="Arial"/>
        </w:rPr>
        <w:t>y evitar su modificación, menoscabo, transferencia, divulgación o acceso no permitido a personas distintas a las que actúan y que no guardan relación con el asunto</w:t>
      </w:r>
      <w:r w:rsidR="005804E5">
        <w:rPr>
          <w:rFonts w:ascii="Palatino Linotype" w:eastAsia="Calibri" w:hAnsi="Palatino Linotype" w:cs="Arial"/>
        </w:rPr>
        <w:t>, así como en atención al principio del debido proceso</w:t>
      </w:r>
      <w:r w:rsidR="00432F3D" w:rsidRPr="00012637">
        <w:rPr>
          <w:rFonts w:ascii="Palatino Linotype" w:eastAsia="Calibri" w:hAnsi="Palatino Linotype" w:cs="Arial"/>
        </w:rPr>
        <w:t xml:space="preserve">; no obstante, a fin de privilegiar el derecho de </w:t>
      </w:r>
      <w:r w:rsidR="00A67C9B" w:rsidRPr="00012637">
        <w:rPr>
          <w:rFonts w:ascii="Palatino Linotype" w:eastAsia="Calibri" w:hAnsi="Palatino Linotype" w:cs="Arial"/>
        </w:rPr>
        <w:t xml:space="preserve">defensa adecuada de </w:t>
      </w:r>
      <w:r w:rsidR="00432F3D" w:rsidRPr="00012637">
        <w:rPr>
          <w:rFonts w:ascii="Palatino Linotype" w:eastAsia="Calibri" w:hAnsi="Palatino Linotype" w:cs="Arial"/>
        </w:rPr>
        <w:t xml:space="preserve">la particular </w:t>
      </w:r>
      <w:r w:rsidR="00432F3D" w:rsidRPr="00012637">
        <w:rPr>
          <w:rFonts w:ascii="Palatino Linotype" w:eastAsia="Calibri" w:hAnsi="Palatino Linotype" w:cs="Arial"/>
          <w:b/>
        </w:rPr>
        <w:t xml:space="preserve">EL SUJETO OBLIGADO </w:t>
      </w:r>
      <w:r w:rsidR="00432F3D" w:rsidRPr="00012637">
        <w:rPr>
          <w:rFonts w:ascii="Palatino Linotype" w:eastAsia="Calibri" w:hAnsi="Palatino Linotype" w:cs="Arial"/>
        </w:rPr>
        <w:t>informó del trámite espe</w:t>
      </w:r>
      <w:r w:rsidR="005804E5">
        <w:rPr>
          <w:rFonts w:ascii="Palatino Linotype" w:eastAsia="Calibri" w:hAnsi="Palatino Linotype" w:cs="Arial"/>
        </w:rPr>
        <w:t>cí</w:t>
      </w:r>
      <w:r w:rsidR="00432F3D" w:rsidRPr="00012637">
        <w:rPr>
          <w:rFonts w:ascii="Palatino Linotype" w:eastAsia="Calibri" w:hAnsi="Palatino Linotype" w:cs="Arial"/>
        </w:rPr>
        <w:t>fico a realizar p</w:t>
      </w:r>
      <w:r w:rsidR="00A67C9B" w:rsidRPr="00012637">
        <w:rPr>
          <w:rFonts w:ascii="Palatino Linotype" w:eastAsia="Calibri" w:hAnsi="Palatino Linotype" w:cs="Arial"/>
        </w:rPr>
        <w:t>ara acceder a dichos documentos, pues al</w:t>
      </w:r>
      <w:r w:rsidR="005804E5">
        <w:rPr>
          <w:rFonts w:ascii="Palatino Linotype" w:eastAsia="Calibri" w:hAnsi="Palatino Linotype" w:cs="Arial"/>
        </w:rPr>
        <w:t xml:space="preserve"> ser parte goza de legitimación;</w:t>
      </w:r>
      <w:r w:rsidR="00A67C9B" w:rsidRPr="00012637">
        <w:rPr>
          <w:rFonts w:ascii="Palatino Linotype" w:eastAsia="Calibri" w:hAnsi="Palatino Linotype" w:cs="Arial"/>
        </w:rPr>
        <w:t xml:space="preserve"> refuerzo de lo anterior es </w:t>
      </w:r>
      <w:r w:rsidR="005804E5">
        <w:rPr>
          <w:rFonts w:ascii="Palatino Linotype" w:eastAsia="Calibri" w:hAnsi="Palatino Linotype" w:cs="Arial"/>
        </w:rPr>
        <w:t xml:space="preserve">la tesis </w:t>
      </w:r>
      <w:r w:rsidR="00A67C9B" w:rsidRPr="00012637">
        <w:rPr>
          <w:rFonts w:ascii="Palatino Linotype" w:eastAsia="Calibri" w:hAnsi="Palatino Linotype" w:cs="Arial"/>
        </w:rPr>
        <w:t>que a continuación se cita:</w:t>
      </w:r>
    </w:p>
    <w:p w14:paraId="12DBBAFD" w14:textId="77777777" w:rsidR="00A67C9B" w:rsidRPr="00012637" w:rsidRDefault="00A67C9B" w:rsidP="00E60FF4">
      <w:pPr>
        <w:widowControl w:val="0"/>
        <w:autoSpaceDE w:val="0"/>
        <w:autoSpaceDN w:val="0"/>
        <w:adjustRightInd w:val="0"/>
        <w:spacing w:line="360" w:lineRule="auto"/>
        <w:jc w:val="both"/>
        <w:rPr>
          <w:rFonts w:ascii="Palatino Linotype" w:eastAsia="Calibri" w:hAnsi="Palatino Linotype" w:cs="Arial"/>
        </w:rPr>
      </w:pPr>
    </w:p>
    <w:p w14:paraId="7633C4BA"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Época: Décima Época </w:t>
      </w:r>
    </w:p>
    <w:p w14:paraId="3B0F14F9"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Registro: 2016501 </w:t>
      </w:r>
    </w:p>
    <w:p w14:paraId="4CA4629B"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Instancia: Tribunales Colegiados de Circuito </w:t>
      </w:r>
    </w:p>
    <w:p w14:paraId="5967BF74"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Tipo de Tesis: Aislada </w:t>
      </w:r>
    </w:p>
    <w:p w14:paraId="7C28BB99"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Fuente: Gaceta del Semanario Judicial de la Federación </w:t>
      </w:r>
    </w:p>
    <w:p w14:paraId="41B1E374"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Libro 52, Marzo de 2018, Tomo IV </w:t>
      </w:r>
    </w:p>
    <w:p w14:paraId="606FB12E"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Materia(s): Constitucional </w:t>
      </w:r>
    </w:p>
    <w:p w14:paraId="37ED1BF6"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Tesis: I.9o.P.183 P (10a.) </w:t>
      </w:r>
    </w:p>
    <w:p w14:paraId="1E567593"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 xml:space="preserve">Página: 3330 </w:t>
      </w:r>
    </w:p>
    <w:p w14:paraId="75E94DA2"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p>
    <w:p w14:paraId="4E9F4EEC" w14:textId="75E95043"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b/>
          <w:i/>
        </w:rPr>
        <w:t xml:space="preserve">AVERIGUACIÓN PREVIA. LA "PRUEBA DE DAÑO" PREVISTA EN LAS LEYES FEDERAL Y GENERAL DE TRANSPARENCIA Y ACCESO A LA INFORMACIÓN PÚBLICA, INSTITUIDA PARA DETERMINAR SI SE PERMITE EL ACCESO A INFORMACIÓN RESERVADA, ES INAPLICABLE PARA QUIENES SON PARTE EN LA INDAGATORIA, POR LO QUE UTILIZARLA PARA RESTRINGIRLES EL ACCESO A LAS CONSTANCIAS QUE LA INTEGRAN, CONSTITUYE UNA CARGA DESPROPORCIONADA, INCOMPATIBLE CON EL DERECHO DE DEFENSA </w:t>
      </w:r>
      <w:proofErr w:type="spellStart"/>
      <w:r w:rsidRPr="00012637">
        <w:rPr>
          <w:rFonts w:ascii="Palatino Linotype" w:eastAsia="Calibri" w:hAnsi="Palatino Linotype" w:cs="Arial"/>
          <w:b/>
          <w:i/>
        </w:rPr>
        <w:t>ADECUADA.</w:t>
      </w:r>
      <w:r w:rsidRPr="00012637">
        <w:rPr>
          <w:rFonts w:ascii="Palatino Linotype" w:eastAsia="Calibri" w:hAnsi="Palatino Linotype" w:cs="Arial"/>
          <w:i/>
        </w:rPr>
        <w:t>La</w:t>
      </w:r>
      <w:proofErr w:type="spellEnd"/>
      <w:r w:rsidRPr="00012637">
        <w:rPr>
          <w:rFonts w:ascii="Palatino Linotype" w:eastAsia="Calibri" w:hAnsi="Palatino Linotype" w:cs="Arial"/>
          <w:i/>
        </w:rPr>
        <w:t xml:space="preserve"> Primera Sala de la Suprema Corte de Justicia de la Nación, al analizar el derecho de acceso a la información, </w:t>
      </w:r>
      <w:r w:rsidRPr="00012637">
        <w:rPr>
          <w:rFonts w:ascii="Palatino Linotype" w:eastAsia="Calibri" w:hAnsi="Palatino Linotype" w:cs="Arial"/>
          <w:i/>
        </w:rPr>
        <w:lastRenderedPageBreak/>
        <w:t xml:space="preserve">determinó que la información reservada puede darse a conocer públicamente, mediante la elaboración de una "prueba de daño" -prevista en las Leyes Federal y General de Transparencia y Acceso a la Información Pública- que consiste, medularmente, en la facultad de la autoridad que posee la información solicitada para ponderar y valorar mediante la debida fundamentación y motivación, el proporcionarla o no, en tanto que su divulgación ponga en riesgo o pueda causar un perjuicio real al objetivo o principio que trata de salvaguardar, y de manera estricta debe demostrarse que el perjuicio u objetivo reservado, resulta mayormente afectado que los beneficios que podrían lograrse con la difusión de la información. Lo anterior, conforme al principio de buena fe en materia de acceso a la información, previsto en el artículo 6o., fracción III, de la Constitución Política de los Estados Unidos Mexicanos, el cual dispone que toda persona, sin necesidad de acreditar interés alguno o justificar su utilización, tendrá acceso gratuito a la información pública. Lo anterior le permitió concluir que los párrafos segundo, tercero y sexto del artículo 16 del Código Federal de Procedimientos Penales (abrogado), transgreden el derecho humano de acceso a la información, al prever que la contenida en una averiguación previa debe considerarse reservada, sin contener criterios que permitan determinar casuísticamente cuál es la información que debe reservarse. Ahora bien, tratándose de averiguaciones previas, esas consideraciones deben entenderse aplicables para terceros a ellas, esto es, cuando quien solicita la información no es parte en la indagatoria, pues para el inculpado, su defensor, la víctima u ofendido y su representante legal, la averiguación previa no puede considerarse como información reservada o confidencial, ni justifica la negativa de expedirles copias de las constancias que la integran, porque hacerlo constituye una carga desproporcionada, incompatible con el derecho de defensa adecuada, previsto en el artículo 20 de la Constitución Federal, aunado a que las partes gozan de legitimación para intervenir en la fase procesal de referencia, a fin de acreditar sus pretensiones y tienen conocimiento de los hechos. La anterior interpretación es acorde con el artículo 1o. constitucional y con lo sostenido por la Corte Interamericana de Derechos Humanos, en el caso "Radilla Pacheco Vs. Estados Unidos Mexicanos", en el que determinó que la negativa de expedir copias del expediente de una investigación a las víctimas, constituye una carga </w:t>
      </w:r>
      <w:r w:rsidRPr="00012637">
        <w:rPr>
          <w:rFonts w:ascii="Palatino Linotype" w:eastAsia="Calibri" w:hAnsi="Palatino Linotype" w:cs="Arial"/>
          <w:i/>
        </w:rPr>
        <w:lastRenderedPageBreak/>
        <w:t>desproporcionada en su perjuicio, incompatible con el derecho a su participación en la averiguación previa y que, por tanto, el Estado debe contar con mecanismos menos lesivos al derecho de acceso a la justicia para proteger la difusión del contenido de las investigaciones en curso y la integridad de los expedientes.</w:t>
      </w:r>
    </w:p>
    <w:p w14:paraId="50A384BB"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p>
    <w:p w14:paraId="2C27E156"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NOVENO TRIBUNAL COLEGIADO EN MATERIA PENAL DEL PRIMER CIRCUITO.</w:t>
      </w:r>
    </w:p>
    <w:p w14:paraId="3EF5DF8C"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Amparo en revisión 294/2017. 1 de febrero de 2018. Unanimidad de votos. Ponente: Irma Rivero Ortiz de Alcántara. Secretario: José Trejo Martínez.</w:t>
      </w:r>
    </w:p>
    <w:p w14:paraId="4E852322" w14:textId="77777777" w:rsidR="00A67C9B" w:rsidRPr="00012637" w:rsidRDefault="00A67C9B" w:rsidP="00A67C9B">
      <w:pPr>
        <w:widowControl w:val="0"/>
        <w:autoSpaceDE w:val="0"/>
        <w:autoSpaceDN w:val="0"/>
        <w:adjustRightInd w:val="0"/>
        <w:ind w:left="709" w:right="757"/>
        <w:jc w:val="both"/>
        <w:rPr>
          <w:rFonts w:ascii="Palatino Linotype" w:eastAsia="Calibri" w:hAnsi="Palatino Linotype" w:cs="Arial"/>
          <w:i/>
        </w:rPr>
      </w:pPr>
      <w:r w:rsidRPr="00012637">
        <w:rPr>
          <w:rFonts w:ascii="Palatino Linotype" w:eastAsia="Calibri" w:hAnsi="Palatino Linotype" w:cs="Arial"/>
          <w:i/>
        </w:rPr>
        <w:t>Esta tesis se publicó el viernes 23 de marzo de 2018 a las 10:26 horas en el Semanario Judicial de la Federación.</w:t>
      </w:r>
    </w:p>
    <w:p w14:paraId="12A13276" w14:textId="77777777" w:rsidR="00A67C9B" w:rsidRPr="00012637" w:rsidRDefault="00A67C9B" w:rsidP="00E60FF4">
      <w:pPr>
        <w:widowControl w:val="0"/>
        <w:autoSpaceDE w:val="0"/>
        <w:autoSpaceDN w:val="0"/>
        <w:adjustRightInd w:val="0"/>
        <w:spacing w:line="360" w:lineRule="auto"/>
        <w:jc w:val="both"/>
        <w:rPr>
          <w:rFonts w:ascii="Palatino Linotype" w:eastAsia="Calibri" w:hAnsi="Palatino Linotype" w:cs="Arial"/>
        </w:rPr>
      </w:pPr>
    </w:p>
    <w:p w14:paraId="55641CED" w14:textId="72938177" w:rsidR="00153E3A" w:rsidRPr="00012637" w:rsidRDefault="00436D14" w:rsidP="00426458">
      <w:pPr>
        <w:spacing w:line="360" w:lineRule="auto"/>
        <w:jc w:val="both"/>
        <w:rPr>
          <w:rFonts w:ascii="Palatino Linotype" w:hAnsi="Palatino Linotype" w:cs="Arial"/>
        </w:rPr>
      </w:pPr>
      <w:r w:rsidRPr="00012637">
        <w:rPr>
          <w:rFonts w:ascii="Palatino Linotype" w:hAnsi="Palatino Linotype" w:cs="Arial"/>
        </w:rPr>
        <w:t xml:space="preserve">Ante ello, es de </w:t>
      </w:r>
      <w:r w:rsidR="00875BD4" w:rsidRPr="00012637">
        <w:rPr>
          <w:rFonts w:ascii="Palatino Linotype" w:hAnsi="Palatino Linotype" w:cs="Arial"/>
          <w:b/>
        </w:rPr>
        <w:t>OPINIÓ</w:t>
      </w:r>
      <w:r w:rsidRPr="00012637">
        <w:rPr>
          <w:rFonts w:ascii="Palatino Linotype" w:hAnsi="Palatino Linotype" w:cs="Arial"/>
          <w:b/>
        </w:rPr>
        <w:t>N PARTICULAR</w:t>
      </w:r>
      <w:r w:rsidRPr="00012637">
        <w:rPr>
          <w:rFonts w:ascii="Palatino Linotype" w:hAnsi="Palatino Linotype" w:cs="Arial"/>
        </w:rPr>
        <w:t xml:space="preserve"> el reforzar el </w:t>
      </w:r>
      <w:r w:rsidR="00442D69" w:rsidRPr="00012637">
        <w:rPr>
          <w:rFonts w:ascii="Palatino Linotype" w:hAnsi="Palatino Linotype" w:cs="Arial"/>
        </w:rPr>
        <w:t>análisis inmerso en la resolución del recurso de revisión de que se trata,</w:t>
      </w:r>
      <w:r w:rsidRPr="00012637">
        <w:rPr>
          <w:rFonts w:ascii="Palatino Linotype" w:hAnsi="Palatino Linotype" w:cs="Arial"/>
        </w:rPr>
        <w:t xml:space="preserve"> </w:t>
      </w:r>
      <w:r w:rsidR="00875BD4" w:rsidRPr="00012637">
        <w:rPr>
          <w:rFonts w:ascii="Palatino Linotype" w:hAnsi="Palatino Linotype" w:cs="Arial"/>
        </w:rPr>
        <w:t xml:space="preserve">puesto que se insiste </w:t>
      </w:r>
      <w:r w:rsidR="00442D69" w:rsidRPr="00012637">
        <w:rPr>
          <w:rFonts w:ascii="Palatino Linotype" w:hAnsi="Palatino Linotype" w:cs="Arial"/>
        </w:rPr>
        <w:t xml:space="preserve">que </w:t>
      </w:r>
      <w:r w:rsidR="00875BD4" w:rsidRPr="00012637">
        <w:rPr>
          <w:rFonts w:ascii="Palatino Linotype" w:hAnsi="Palatino Linotype" w:cs="Arial"/>
        </w:rPr>
        <w:t>se comparte</w:t>
      </w:r>
      <w:r w:rsidRPr="00012637">
        <w:rPr>
          <w:rFonts w:ascii="Palatino Linotype" w:hAnsi="Palatino Linotype" w:cs="Arial"/>
        </w:rPr>
        <w:t xml:space="preserve"> el fallo tanto en lo general como en su sentido, por lo que, </w:t>
      </w:r>
      <w:r w:rsidRPr="00012637">
        <w:rPr>
          <w:rFonts w:ascii="Palatino Linotype" w:hAnsi="Palatino Linotype" w:cs="Arial"/>
          <w:b/>
        </w:rPr>
        <w:t>EL SUJETO OBLIGADO</w:t>
      </w:r>
      <w:r w:rsidRPr="00012637">
        <w:rPr>
          <w:rFonts w:ascii="Palatino Linotype" w:hAnsi="Palatino Linotype" w:cs="Arial"/>
        </w:rPr>
        <w:t xml:space="preserve"> </w:t>
      </w:r>
      <w:r w:rsidR="00432F3D" w:rsidRPr="00012637">
        <w:rPr>
          <w:rFonts w:ascii="Palatino Linotype" w:hAnsi="Palatino Linotype" w:cs="Arial"/>
        </w:rPr>
        <w:t xml:space="preserve">fue oportuno en informar a </w:t>
      </w:r>
      <w:r w:rsidR="00432F3D" w:rsidRPr="00012637">
        <w:rPr>
          <w:rFonts w:ascii="Palatino Linotype" w:hAnsi="Palatino Linotype" w:cs="Arial"/>
          <w:b/>
        </w:rPr>
        <w:t xml:space="preserve">LA RECURRENTE </w:t>
      </w:r>
      <w:r w:rsidR="00432F3D" w:rsidRPr="00012637">
        <w:rPr>
          <w:rFonts w:ascii="Palatino Linotype" w:hAnsi="Palatino Linotype" w:cs="Arial"/>
        </w:rPr>
        <w:t xml:space="preserve">el trámite para poder acceder a la multicitada </w:t>
      </w:r>
      <w:r w:rsidR="009C1D41">
        <w:rPr>
          <w:rFonts w:ascii="Palatino Linotype" w:hAnsi="Palatino Linotype" w:cs="Arial"/>
        </w:rPr>
        <w:t xml:space="preserve">averiguación previa </w:t>
      </w:r>
      <w:r w:rsidR="002F23AD">
        <w:rPr>
          <w:rFonts w:ascii="Palatino Linotype" w:hAnsi="Palatino Linotype" w:cs="Arial"/>
        </w:rPr>
        <w:t xml:space="preserve">y negándose a proporcionarle la información requerida </w:t>
      </w:r>
      <w:r w:rsidR="00432F3D" w:rsidRPr="00012637">
        <w:rPr>
          <w:rFonts w:ascii="Palatino Linotype" w:hAnsi="Palatino Linotype" w:cs="Arial"/>
        </w:rPr>
        <w:t xml:space="preserve">vía </w:t>
      </w:r>
      <w:r w:rsidR="00432F3D" w:rsidRPr="00012637">
        <w:rPr>
          <w:rFonts w:ascii="Palatino Linotype" w:hAnsi="Palatino Linotype" w:cs="Arial"/>
          <w:b/>
        </w:rPr>
        <w:t>SAIMEX</w:t>
      </w:r>
      <w:r w:rsidR="002F23AD">
        <w:rPr>
          <w:rFonts w:ascii="Palatino Linotype" w:hAnsi="Palatino Linotype" w:cs="Arial"/>
        </w:rPr>
        <w:t xml:space="preserve">; ello, </w:t>
      </w:r>
      <w:r w:rsidR="00432F3D" w:rsidRPr="00012637">
        <w:rPr>
          <w:rFonts w:ascii="Palatino Linotype" w:hAnsi="Palatino Linotype" w:cs="Arial"/>
        </w:rPr>
        <w:t>toda vez que</w:t>
      </w:r>
      <w:r w:rsidR="005804E5">
        <w:rPr>
          <w:rFonts w:ascii="Palatino Linotype" w:hAnsi="Palatino Linotype" w:cs="Arial"/>
        </w:rPr>
        <w:t>,</w:t>
      </w:r>
      <w:r w:rsidR="00432F3D" w:rsidRPr="00012637">
        <w:rPr>
          <w:rFonts w:ascii="Palatino Linotype" w:hAnsi="Palatino Linotype" w:cs="Arial"/>
        </w:rPr>
        <w:t xml:space="preserve"> </w:t>
      </w:r>
      <w:r w:rsidR="002F23AD">
        <w:rPr>
          <w:rFonts w:ascii="Palatino Linotype" w:hAnsi="Palatino Linotype" w:cs="Arial"/>
        </w:rPr>
        <w:t xml:space="preserve">el ejercicio del </w:t>
      </w:r>
      <w:r w:rsidR="00012637" w:rsidRPr="00012637">
        <w:rPr>
          <w:rFonts w:ascii="Palatino Linotype" w:hAnsi="Palatino Linotype" w:cs="Arial"/>
        </w:rPr>
        <w:t>derecho de acceso a la información pública no es la vía para que las partes accedan a las</w:t>
      </w:r>
      <w:r w:rsidR="004778EA">
        <w:rPr>
          <w:rFonts w:ascii="Palatino Linotype" w:hAnsi="Palatino Linotype" w:cs="Arial"/>
        </w:rPr>
        <w:t xml:space="preserve"> averiguaciones previas,</w:t>
      </w:r>
      <w:r w:rsidR="00012637" w:rsidRPr="00012637">
        <w:rPr>
          <w:rFonts w:ascii="Palatino Linotype" w:hAnsi="Palatino Linotype" w:cs="Arial"/>
        </w:rPr>
        <w:t xml:space="preserve"> </w:t>
      </w:r>
      <w:r w:rsidR="002F23AD">
        <w:rPr>
          <w:rFonts w:ascii="Palatino Linotype" w:hAnsi="Palatino Linotype" w:cs="Arial"/>
        </w:rPr>
        <w:t xml:space="preserve">ya que </w:t>
      </w:r>
      <w:r w:rsidR="00012637" w:rsidRPr="00012637">
        <w:rPr>
          <w:rFonts w:ascii="Palatino Linotype" w:hAnsi="Palatino Linotype" w:cs="Arial"/>
        </w:rPr>
        <w:t>goza</w:t>
      </w:r>
      <w:r w:rsidR="002F23AD">
        <w:rPr>
          <w:rFonts w:ascii="Palatino Linotype" w:hAnsi="Palatino Linotype" w:cs="Arial"/>
        </w:rPr>
        <w:t>n</w:t>
      </w:r>
      <w:r w:rsidR="00012637" w:rsidRPr="00012637">
        <w:rPr>
          <w:rFonts w:ascii="Palatino Linotype" w:hAnsi="Palatino Linotype" w:cs="Arial"/>
        </w:rPr>
        <w:t xml:space="preserve"> de legitimación para intervenir en la fase procesal </w:t>
      </w:r>
      <w:r w:rsidR="004778EA">
        <w:rPr>
          <w:rFonts w:ascii="Palatino Linotype" w:hAnsi="Palatino Linotype" w:cs="Arial"/>
        </w:rPr>
        <w:t>que</w:t>
      </w:r>
      <w:r w:rsidR="002F23AD">
        <w:rPr>
          <w:rFonts w:ascii="Palatino Linotype" w:hAnsi="Palatino Linotype" w:cs="Arial"/>
        </w:rPr>
        <w:t xml:space="preserve"> así consideren,</w:t>
      </w:r>
      <w:r w:rsidR="004778EA">
        <w:rPr>
          <w:rFonts w:ascii="Palatino Linotype" w:hAnsi="Palatino Linotype" w:cs="Arial"/>
        </w:rPr>
        <w:t xml:space="preserve"> </w:t>
      </w:r>
      <w:r w:rsidR="002F23AD">
        <w:rPr>
          <w:rFonts w:ascii="Palatino Linotype" w:hAnsi="Palatino Linotype" w:cs="Arial"/>
        </w:rPr>
        <w:t xml:space="preserve">en atención al </w:t>
      </w:r>
      <w:r w:rsidR="00012637" w:rsidRPr="00012637">
        <w:rPr>
          <w:rFonts w:ascii="Palatino Linotype" w:hAnsi="Palatino Linotype" w:cs="Arial"/>
        </w:rPr>
        <w:t>derecho</w:t>
      </w:r>
      <w:r w:rsidR="002F23AD">
        <w:rPr>
          <w:rFonts w:ascii="Palatino Linotype" w:hAnsi="Palatino Linotype" w:cs="Arial"/>
        </w:rPr>
        <w:t xml:space="preserve"> constitucional de</w:t>
      </w:r>
      <w:r w:rsidR="00012637" w:rsidRPr="00012637">
        <w:rPr>
          <w:rFonts w:ascii="Palatino Linotype" w:hAnsi="Palatino Linotype" w:cs="Arial"/>
        </w:rPr>
        <w:t xml:space="preserve"> adecuada</w:t>
      </w:r>
      <w:r w:rsidR="002F23AD">
        <w:rPr>
          <w:rFonts w:ascii="Palatino Linotype" w:hAnsi="Palatino Linotype" w:cs="Arial"/>
        </w:rPr>
        <w:t xml:space="preserve"> defensa</w:t>
      </w:r>
      <w:r w:rsidR="00012637" w:rsidRPr="00012637">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436D14" w:rsidRPr="00012637" w14:paraId="5AAC6CF2" w14:textId="77777777" w:rsidTr="002D3952">
        <w:trPr>
          <w:jc w:val="center"/>
        </w:trPr>
        <w:tc>
          <w:tcPr>
            <w:tcW w:w="4393" w:type="dxa"/>
          </w:tcPr>
          <w:p w14:paraId="1FDAB3EF" w14:textId="77777777" w:rsidR="00747BE2" w:rsidRPr="00747BE2" w:rsidRDefault="00747BE2" w:rsidP="00012637">
            <w:pPr>
              <w:jc w:val="center"/>
              <w:rPr>
                <w:rFonts w:ascii="Palatino Linotype" w:hAnsi="Palatino Linotype"/>
                <w:b/>
                <w:sz w:val="20"/>
              </w:rPr>
            </w:pPr>
          </w:p>
          <w:p w14:paraId="6913FC64" w14:textId="77777777" w:rsidR="00747BE2" w:rsidRDefault="00747BE2" w:rsidP="00012637">
            <w:pPr>
              <w:jc w:val="center"/>
              <w:rPr>
                <w:rFonts w:ascii="Palatino Linotype" w:hAnsi="Palatino Linotype"/>
                <w:b/>
              </w:rPr>
            </w:pPr>
          </w:p>
          <w:p w14:paraId="3EC668C3" w14:textId="77777777" w:rsidR="00747BE2" w:rsidRDefault="00747BE2" w:rsidP="00012637">
            <w:pPr>
              <w:jc w:val="center"/>
              <w:rPr>
                <w:rFonts w:ascii="Palatino Linotype" w:hAnsi="Palatino Linotype"/>
                <w:b/>
              </w:rPr>
            </w:pPr>
          </w:p>
          <w:p w14:paraId="20599A1F" w14:textId="77777777" w:rsidR="00436D14" w:rsidRPr="00012637" w:rsidRDefault="00436D14" w:rsidP="00012637">
            <w:pPr>
              <w:jc w:val="center"/>
              <w:rPr>
                <w:rFonts w:ascii="Palatino Linotype" w:hAnsi="Palatino Linotype"/>
                <w:b/>
              </w:rPr>
            </w:pPr>
            <w:r w:rsidRPr="00012637">
              <w:rPr>
                <w:rFonts w:ascii="Palatino Linotype" w:hAnsi="Palatino Linotype"/>
                <w:b/>
              </w:rPr>
              <w:t>EVA ABAID YAPUR</w:t>
            </w:r>
          </w:p>
          <w:p w14:paraId="6A13C606" w14:textId="77777777" w:rsidR="00436D14" w:rsidRDefault="00436D14" w:rsidP="00747BE2">
            <w:pPr>
              <w:jc w:val="center"/>
              <w:rPr>
                <w:rFonts w:ascii="Palatino Linotype" w:hAnsi="Palatino Linotype"/>
                <w:b/>
              </w:rPr>
            </w:pPr>
            <w:r w:rsidRPr="00012637">
              <w:rPr>
                <w:rFonts w:ascii="Palatino Linotype" w:hAnsi="Palatino Linotype"/>
                <w:b/>
              </w:rPr>
              <w:t>COMISIONADA</w:t>
            </w:r>
          </w:p>
          <w:p w14:paraId="78C28D1C" w14:textId="5BC05676" w:rsidR="007B655E" w:rsidRPr="00012637" w:rsidRDefault="007B655E" w:rsidP="007B655E">
            <w:pPr>
              <w:jc w:val="center"/>
              <w:rPr>
                <w:rFonts w:ascii="Palatino Linotype" w:hAnsi="Palatino Linotype"/>
                <w:b/>
              </w:rPr>
            </w:pPr>
            <w:r>
              <w:rPr>
                <w:rFonts w:ascii="Palatino Linotype" w:hAnsi="Palatino Linotype"/>
                <w:b/>
              </w:rPr>
              <w:t>(RÚBRICA)</w:t>
            </w:r>
          </w:p>
        </w:tc>
        <w:bookmarkStart w:id="0" w:name="_GoBack"/>
        <w:bookmarkEnd w:id="0"/>
      </w:tr>
    </w:tbl>
    <w:p w14:paraId="461A9221" w14:textId="77777777" w:rsidR="00747BE2" w:rsidRPr="00747BE2" w:rsidRDefault="00747BE2" w:rsidP="00432F3D">
      <w:pPr>
        <w:jc w:val="both"/>
        <w:rPr>
          <w:rFonts w:ascii="Palatino Linotype" w:eastAsia="Calibri" w:hAnsi="Palatino Linotype" w:cs="Arial"/>
          <w:color w:val="000000" w:themeColor="text1"/>
          <w:sz w:val="2"/>
          <w:szCs w:val="20"/>
        </w:rPr>
      </w:pPr>
    </w:p>
    <w:p w14:paraId="397959EA" w14:textId="21228B5E" w:rsidR="00436D14" w:rsidRDefault="00436D14" w:rsidP="00432F3D">
      <w:pPr>
        <w:jc w:val="both"/>
        <w:rPr>
          <w:rFonts w:ascii="Palatino Linotype" w:eastAsia="Calibri" w:hAnsi="Palatino Linotype" w:cs="Arial"/>
          <w:color w:val="000000" w:themeColor="text1"/>
          <w:sz w:val="20"/>
          <w:szCs w:val="20"/>
        </w:rPr>
      </w:pPr>
      <w:r w:rsidRPr="004778EA">
        <w:rPr>
          <w:rFonts w:ascii="Palatino Linotype" w:eastAsia="Calibri" w:hAnsi="Palatino Linotype" w:cs="Arial"/>
          <w:color w:val="000000" w:themeColor="text1"/>
          <w:sz w:val="20"/>
          <w:szCs w:val="20"/>
        </w:rPr>
        <w:t>Esta hoja corresponde a la opinión particular emitid</w:t>
      </w:r>
      <w:r w:rsidR="009124C5" w:rsidRPr="004778EA">
        <w:rPr>
          <w:rFonts w:ascii="Palatino Linotype" w:eastAsia="Calibri" w:hAnsi="Palatino Linotype" w:cs="Arial"/>
          <w:color w:val="000000" w:themeColor="text1"/>
          <w:sz w:val="20"/>
          <w:szCs w:val="20"/>
        </w:rPr>
        <w:t>a</w:t>
      </w:r>
      <w:r w:rsidRPr="004778EA">
        <w:rPr>
          <w:rFonts w:ascii="Palatino Linotype" w:eastAsia="Calibri" w:hAnsi="Palatino Linotype" w:cs="Arial"/>
          <w:color w:val="000000" w:themeColor="text1"/>
          <w:sz w:val="20"/>
          <w:szCs w:val="20"/>
        </w:rPr>
        <w:t xml:space="preserve"> en </w:t>
      </w:r>
      <w:r w:rsidR="009124C5" w:rsidRPr="004778EA">
        <w:rPr>
          <w:rFonts w:ascii="Palatino Linotype" w:eastAsia="Calibri" w:hAnsi="Palatino Linotype" w:cs="Arial"/>
          <w:color w:val="000000" w:themeColor="text1"/>
          <w:sz w:val="20"/>
          <w:szCs w:val="20"/>
        </w:rPr>
        <w:t xml:space="preserve">la resolución </w:t>
      </w:r>
      <w:r w:rsidRPr="004778EA">
        <w:rPr>
          <w:rFonts w:ascii="Palatino Linotype" w:eastAsia="Calibri" w:hAnsi="Palatino Linotype" w:cs="Arial"/>
          <w:color w:val="000000" w:themeColor="text1"/>
          <w:sz w:val="20"/>
          <w:szCs w:val="20"/>
        </w:rPr>
        <w:t>el recurso de revisión 0</w:t>
      </w:r>
      <w:r w:rsidR="00432F3D" w:rsidRPr="004778EA">
        <w:rPr>
          <w:rFonts w:ascii="Palatino Linotype" w:eastAsia="Calibri" w:hAnsi="Palatino Linotype" w:cs="Arial"/>
          <w:color w:val="000000" w:themeColor="text1"/>
          <w:sz w:val="20"/>
          <w:szCs w:val="20"/>
        </w:rPr>
        <w:t>1203</w:t>
      </w:r>
      <w:r w:rsidRPr="004778EA">
        <w:rPr>
          <w:rFonts w:ascii="Palatino Linotype" w:eastAsia="Calibri" w:hAnsi="Palatino Linotype" w:cs="Arial"/>
          <w:color w:val="000000" w:themeColor="text1"/>
          <w:sz w:val="20"/>
          <w:szCs w:val="20"/>
        </w:rPr>
        <w:t>/INFOEM/IP/RR/2018, aprobad</w:t>
      </w:r>
      <w:r w:rsidR="009124C5" w:rsidRPr="004778EA">
        <w:rPr>
          <w:rFonts w:ascii="Palatino Linotype" w:eastAsia="Calibri" w:hAnsi="Palatino Linotype" w:cs="Arial"/>
          <w:color w:val="000000" w:themeColor="text1"/>
          <w:sz w:val="20"/>
          <w:szCs w:val="20"/>
        </w:rPr>
        <w:t>a</w:t>
      </w:r>
      <w:r w:rsidRPr="004778EA">
        <w:rPr>
          <w:rFonts w:ascii="Palatino Linotype" w:eastAsia="Calibri" w:hAnsi="Palatino Linotype" w:cs="Arial"/>
          <w:color w:val="000000" w:themeColor="text1"/>
          <w:sz w:val="20"/>
          <w:szCs w:val="20"/>
        </w:rPr>
        <w:t xml:space="preserve"> el </w:t>
      </w:r>
      <w:r w:rsidR="00432F3D" w:rsidRPr="004778EA">
        <w:rPr>
          <w:rFonts w:ascii="Palatino Linotype" w:eastAsia="Calibri" w:hAnsi="Palatino Linotype" w:cs="Arial"/>
          <w:color w:val="000000" w:themeColor="text1"/>
          <w:sz w:val="20"/>
          <w:szCs w:val="20"/>
        </w:rPr>
        <w:t>cinco de septiembre</w:t>
      </w:r>
      <w:r w:rsidRPr="004778EA">
        <w:rPr>
          <w:rFonts w:ascii="Palatino Linotype" w:eastAsia="Calibri" w:hAnsi="Palatino Linotype" w:cs="Arial"/>
          <w:color w:val="000000" w:themeColor="text1"/>
          <w:sz w:val="20"/>
          <w:szCs w:val="20"/>
        </w:rPr>
        <w:t xml:space="preserve"> de dos mil dieciocho. </w:t>
      </w:r>
    </w:p>
    <w:p w14:paraId="290B451D" w14:textId="77777777" w:rsidR="00747BE2" w:rsidRPr="00747BE2" w:rsidRDefault="00747BE2" w:rsidP="00432F3D">
      <w:pPr>
        <w:jc w:val="both"/>
        <w:rPr>
          <w:rFonts w:ascii="Palatino Linotype" w:eastAsia="Calibri" w:hAnsi="Palatino Linotype" w:cs="Arial"/>
          <w:color w:val="000000" w:themeColor="text1"/>
          <w:sz w:val="4"/>
          <w:szCs w:val="20"/>
        </w:rPr>
      </w:pPr>
    </w:p>
    <w:p w14:paraId="5667B012" w14:textId="6A3D9169" w:rsidR="00CD311D" w:rsidRPr="00012637" w:rsidRDefault="00436D14" w:rsidP="00432F3D">
      <w:pPr>
        <w:jc w:val="both"/>
        <w:rPr>
          <w:rFonts w:ascii="Palatino Linotype" w:eastAsia="Calibri" w:hAnsi="Palatino Linotype" w:cs="Arial"/>
          <w:color w:val="000000" w:themeColor="text1"/>
          <w:sz w:val="22"/>
        </w:rPr>
      </w:pPr>
      <w:r w:rsidRPr="004778EA">
        <w:rPr>
          <w:rFonts w:ascii="Palatino Linotype" w:eastAsia="Calibri" w:hAnsi="Palatino Linotype" w:cs="Arial"/>
          <w:color w:val="000000" w:themeColor="text1"/>
          <w:sz w:val="20"/>
          <w:szCs w:val="20"/>
        </w:rPr>
        <w:t>YSM/</w:t>
      </w:r>
      <w:r w:rsidR="009124C5" w:rsidRPr="004778EA">
        <w:rPr>
          <w:rFonts w:ascii="Palatino Linotype" w:eastAsia="Calibri" w:hAnsi="Palatino Linotype" w:cs="Arial"/>
          <w:color w:val="000000" w:themeColor="text1"/>
          <w:sz w:val="20"/>
          <w:szCs w:val="20"/>
        </w:rPr>
        <w:t>ATU</w:t>
      </w:r>
    </w:p>
    <w:sectPr w:rsidR="00CD311D" w:rsidRPr="00012637" w:rsidSect="00BC7955">
      <w:headerReference w:type="even" r:id="rId8"/>
      <w:headerReference w:type="default" r:id="rId9"/>
      <w:footerReference w:type="default" r:id="rId10"/>
      <w:headerReference w:type="first" r:id="rId11"/>
      <w:pgSz w:w="12240" w:h="15840"/>
      <w:pgMar w:top="2410"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C7AFE" w14:textId="77777777" w:rsidR="00B53DD1" w:rsidRDefault="00B53DD1" w:rsidP="00C80F8C">
      <w:r>
        <w:separator/>
      </w:r>
    </w:p>
  </w:endnote>
  <w:endnote w:type="continuationSeparator" w:id="0">
    <w:p w14:paraId="39B4CDCD" w14:textId="77777777" w:rsidR="00B53DD1" w:rsidRDefault="00B53D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99E5" w14:textId="40BE79D6"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B655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B655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3D400" w14:textId="77777777" w:rsidR="00B53DD1" w:rsidRDefault="00B53DD1" w:rsidP="00C80F8C">
      <w:r>
        <w:separator/>
      </w:r>
    </w:p>
  </w:footnote>
  <w:footnote w:type="continuationSeparator" w:id="0">
    <w:p w14:paraId="295CC5CA" w14:textId="77777777" w:rsidR="00B53DD1" w:rsidRDefault="00B53DD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7B655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6E930C2"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3958EA80">
          <wp:simplePos x="0" y="0"/>
          <wp:positionH relativeFrom="column">
            <wp:posOffset>-669925</wp:posOffset>
          </wp:positionH>
          <wp:positionV relativeFrom="paragraph">
            <wp:posOffset>-204857</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0C8E5779" w:rsidR="0034309A" w:rsidRDefault="00323C78"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71104997" w14:textId="5964356F" w:rsidR="00634485" w:rsidRDefault="0034309A" w:rsidP="007F1C25">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745414" w:rsidRPr="00745414">
      <w:rPr>
        <w:rFonts w:ascii="Palatino Linotype" w:hAnsi="Palatino Linotype" w:cs="Arial"/>
        <w:sz w:val="20"/>
        <w:szCs w:val="20"/>
      </w:rPr>
      <w:t>01203/INFOEM/IP/RR/2018</w:t>
    </w:r>
  </w:p>
  <w:p w14:paraId="333995A2" w14:textId="6B006B99" w:rsidR="0030072F" w:rsidRDefault="007B655E" w:rsidP="00012637">
    <w:pPr>
      <w:pStyle w:val="Encabezado"/>
      <w:tabs>
        <w:tab w:val="clear" w:pos="4252"/>
        <w:tab w:val="clear" w:pos="8504"/>
        <w:tab w:val="left" w:pos="2326"/>
      </w:tabs>
      <w:spacing w:after="240"/>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74.2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7B655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7">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1"/>
  </w:num>
  <w:num w:numId="4">
    <w:abstractNumId w:val="1"/>
  </w:num>
  <w:num w:numId="5">
    <w:abstractNumId w:val="14"/>
  </w:num>
  <w:num w:numId="6">
    <w:abstractNumId w:val="12"/>
  </w:num>
  <w:num w:numId="7">
    <w:abstractNumId w:val="0"/>
  </w:num>
  <w:num w:numId="8">
    <w:abstractNumId w:val="8"/>
  </w:num>
  <w:num w:numId="9">
    <w:abstractNumId w:val="10"/>
  </w:num>
  <w:num w:numId="10">
    <w:abstractNumId w:val="7"/>
  </w:num>
  <w:num w:numId="11">
    <w:abstractNumId w:val="15"/>
  </w:num>
  <w:num w:numId="12">
    <w:abstractNumId w:val="5"/>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6039"/>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4C89"/>
    <w:rsid w:val="000B3FFD"/>
    <w:rsid w:val="000B6BFB"/>
    <w:rsid w:val="000C4453"/>
    <w:rsid w:val="000C7675"/>
    <w:rsid w:val="000D136C"/>
    <w:rsid w:val="000D66DE"/>
    <w:rsid w:val="000E2B1A"/>
    <w:rsid w:val="000E4C17"/>
    <w:rsid w:val="00102EEC"/>
    <w:rsid w:val="0010583C"/>
    <w:rsid w:val="001059D0"/>
    <w:rsid w:val="001103AD"/>
    <w:rsid w:val="00115C54"/>
    <w:rsid w:val="00116018"/>
    <w:rsid w:val="00117749"/>
    <w:rsid w:val="00123644"/>
    <w:rsid w:val="001305C0"/>
    <w:rsid w:val="00136CF7"/>
    <w:rsid w:val="0013735C"/>
    <w:rsid w:val="00137CA1"/>
    <w:rsid w:val="00140058"/>
    <w:rsid w:val="00145492"/>
    <w:rsid w:val="00153E3A"/>
    <w:rsid w:val="0015435D"/>
    <w:rsid w:val="001634A6"/>
    <w:rsid w:val="00175DEE"/>
    <w:rsid w:val="001768C5"/>
    <w:rsid w:val="00177CD8"/>
    <w:rsid w:val="0018441E"/>
    <w:rsid w:val="00187FFD"/>
    <w:rsid w:val="001950C9"/>
    <w:rsid w:val="001A5351"/>
    <w:rsid w:val="001A58CF"/>
    <w:rsid w:val="001D1601"/>
    <w:rsid w:val="001E757E"/>
    <w:rsid w:val="001E763C"/>
    <w:rsid w:val="00201EF3"/>
    <w:rsid w:val="00202137"/>
    <w:rsid w:val="002314AA"/>
    <w:rsid w:val="00233EDC"/>
    <w:rsid w:val="0023504D"/>
    <w:rsid w:val="00237A37"/>
    <w:rsid w:val="0024119C"/>
    <w:rsid w:val="002473C6"/>
    <w:rsid w:val="0025202C"/>
    <w:rsid w:val="002562CC"/>
    <w:rsid w:val="00264F64"/>
    <w:rsid w:val="002940F8"/>
    <w:rsid w:val="002A50EF"/>
    <w:rsid w:val="002B0DA6"/>
    <w:rsid w:val="002B7856"/>
    <w:rsid w:val="002C3476"/>
    <w:rsid w:val="002D3952"/>
    <w:rsid w:val="002D3BBD"/>
    <w:rsid w:val="002D4526"/>
    <w:rsid w:val="002D69E1"/>
    <w:rsid w:val="002D72E2"/>
    <w:rsid w:val="002E3BEA"/>
    <w:rsid w:val="002E5711"/>
    <w:rsid w:val="002F23AD"/>
    <w:rsid w:val="0030072F"/>
    <w:rsid w:val="00304303"/>
    <w:rsid w:val="00305065"/>
    <w:rsid w:val="003056D9"/>
    <w:rsid w:val="003102FA"/>
    <w:rsid w:val="00321947"/>
    <w:rsid w:val="00323C78"/>
    <w:rsid w:val="00333F03"/>
    <w:rsid w:val="00334249"/>
    <w:rsid w:val="00340619"/>
    <w:rsid w:val="0034309A"/>
    <w:rsid w:val="00346360"/>
    <w:rsid w:val="00351129"/>
    <w:rsid w:val="0037279D"/>
    <w:rsid w:val="0037321B"/>
    <w:rsid w:val="003A6F70"/>
    <w:rsid w:val="003C23BE"/>
    <w:rsid w:val="003C28FC"/>
    <w:rsid w:val="003C2D10"/>
    <w:rsid w:val="003C7226"/>
    <w:rsid w:val="003D1C14"/>
    <w:rsid w:val="003E00BF"/>
    <w:rsid w:val="003F4C9C"/>
    <w:rsid w:val="00410D1F"/>
    <w:rsid w:val="004132A6"/>
    <w:rsid w:val="00414E48"/>
    <w:rsid w:val="00414E7B"/>
    <w:rsid w:val="004179B7"/>
    <w:rsid w:val="00426458"/>
    <w:rsid w:val="004315BB"/>
    <w:rsid w:val="00432F3D"/>
    <w:rsid w:val="00436D14"/>
    <w:rsid w:val="0044271B"/>
    <w:rsid w:val="00442D69"/>
    <w:rsid w:val="00443646"/>
    <w:rsid w:val="0044475B"/>
    <w:rsid w:val="00446F33"/>
    <w:rsid w:val="00455CB3"/>
    <w:rsid w:val="00464462"/>
    <w:rsid w:val="004661D2"/>
    <w:rsid w:val="004776FF"/>
    <w:rsid w:val="004778EA"/>
    <w:rsid w:val="004B7325"/>
    <w:rsid w:val="004C40EA"/>
    <w:rsid w:val="004C64D9"/>
    <w:rsid w:val="004D0A26"/>
    <w:rsid w:val="00500FFD"/>
    <w:rsid w:val="00516914"/>
    <w:rsid w:val="005236B6"/>
    <w:rsid w:val="00530548"/>
    <w:rsid w:val="005318AB"/>
    <w:rsid w:val="005321E3"/>
    <w:rsid w:val="00537080"/>
    <w:rsid w:val="00562649"/>
    <w:rsid w:val="00575235"/>
    <w:rsid w:val="005804E5"/>
    <w:rsid w:val="0058067E"/>
    <w:rsid w:val="0058639E"/>
    <w:rsid w:val="005870DF"/>
    <w:rsid w:val="005937C3"/>
    <w:rsid w:val="005B773B"/>
    <w:rsid w:val="005C66D4"/>
    <w:rsid w:val="005D14C4"/>
    <w:rsid w:val="005D1946"/>
    <w:rsid w:val="005D2C85"/>
    <w:rsid w:val="00612544"/>
    <w:rsid w:val="00623E10"/>
    <w:rsid w:val="00634485"/>
    <w:rsid w:val="00636B4A"/>
    <w:rsid w:val="00646A97"/>
    <w:rsid w:val="00672211"/>
    <w:rsid w:val="0067530B"/>
    <w:rsid w:val="006824EF"/>
    <w:rsid w:val="00683443"/>
    <w:rsid w:val="00684492"/>
    <w:rsid w:val="00694EB3"/>
    <w:rsid w:val="006967D4"/>
    <w:rsid w:val="006A496D"/>
    <w:rsid w:val="006C0991"/>
    <w:rsid w:val="006C33BB"/>
    <w:rsid w:val="006D55AC"/>
    <w:rsid w:val="006E6389"/>
    <w:rsid w:val="006F1F0F"/>
    <w:rsid w:val="006F30F8"/>
    <w:rsid w:val="006F6AD0"/>
    <w:rsid w:val="00703ACA"/>
    <w:rsid w:val="00712BC2"/>
    <w:rsid w:val="0071346B"/>
    <w:rsid w:val="00721966"/>
    <w:rsid w:val="00724599"/>
    <w:rsid w:val="007302DE"/>
    <w:rsid w:val="00736C06"/>
    <w:rsid w:val="007378FE"/>
    <w:rsid w:val="007416E3"/>
    <w:rsid w:val="00742010"/>
    <w:rsid w:val="00745414"/>
    <w:rsid w:val="00747BE2"/>
    <w:rsid w:val="00753108"/>
    <w:rsid w:val="007541AF"/>
    <w:rsid w:val="00772360"/>
    <w:rsid w:val="007A4AB6"/>
    <w:rsid w:val="007B1231"/>
    <w:rsid w:val="007B655E"/>
    <w:rsid w:val="007B6E55"/>
    <w:rsid w:val="007C0FDA"/>
    <w:rsid w:val="007C3C0E"/>
    <w:rsid w:val="007C7551"/>
    <w:rsid w:val="007D07CC"/>
    <w:rsid w:val="007D0FEE"/>
    <w:rsid w:val="007D29A5"/>
    <w:rsid w:val="007E545F"/>
    <w:rsid w:val="007F1C25"/>
    <w:rsid w:val="007F3CD0"/>
    <w:rsid w:val="007F59D5"/>
    <w:rsid w:val="00805138"/>
    <w:rsid w:val="008217CD"/>
    <w:rsid w:val="00832A39"/>
    <w:rsid w:val="00846A21"/>
    <w:rsid w:val="00875BCA"/>
    <w:rsid w:val="00875BD4"/>
    <w:rsid w:val="00884669"/>
    <w:rsid w:val="00892AFC"/>
    <w:rsid w:val="008A014C"/>
    <w:rsid w:val="008A52BF"/>
    <w:rsid w:val="008B5854"/>
    <w:rsid w:val="008C0700"/>
    <w:rsid w:val="008C0C70"/>
    <w:rsid w:val="008C17F2"/>
    <w:rsid w:val="008D1526"/>
    <w:rsid w:val="008D584A"/>
    <w:rsid w:val="009124C5"/>
    <w:rsid w:val="00926A92"/>
    <w:rsid w:val="0093343E"/>
    <w:rsid w:val="00953EC8"/>
    <w:rsid w:val="00966E59"/>
    <w:rsid w:val="009754EC"/>
    <w:rsid w:val="00975666"/>
    <w:rsid w:val="00975AA3"/>
    <w:rsid w:val="00975EB9"/>
    <w:rsid w:val="009773AF"/>
    <w:rsid w:val="00982F97"/>
    <w:rsid w:val="00986740"/>
    <w:rsid w:val="009A271C"/>
    <w:rsid w:val="009A67F5"/>
    <w:rsid w:val="009B26A2"/>
    <w:rsid w:val="009B56BC"/>
    <w:rsid w:val="009B65F4"/>
    <w:rsid w:val="009C1D41"/>
    <w:rsid w:val="009C2F32"/>
    <w:rsid w:val="009C46BF"/>
    <w:rsid w:val="009D63A9"/>
    <w:rsid w:val="009E053A"/>
    <w:rsid w:val="009E5EDA"/>
    <w:rsid w:val="009F4491"/>
    <w:rsid w:val="00A032F1"/>
    <w:rsid w:val="00A04C79"/>
    <w:rsid w:val="00A14B1D"/>
    <w:rsid w:val="00A15CC3"/>
    <w:rsid w:val="00A40057"/>
    <w:rsid w:val="00A4593D"/>
    <w:rsid w:val="00A53958"/>
    <w:rsid w:val="00A5532D"/>
    <w:rsid w:val="00A60D1E"/>
    <w:rsid w:val="00A6649D"/>
    <w:rsid w:val="00A67C9B"/>
    <w:rsid w:val="00A7039C"/>
    <w:rsid w:val="00A81140"/>
    <w:rsid w:val="00A824CA"/>
    <w:rsid w:val="00A834B3"/>
    <w:rsid w:val="00A91735"/>
    <w:rsid w:val="00AB21DA"/>
    <w:rsid w:val="00AB400C"/>
    <w:rsid w:val="00AC248E"/>
    <w:rsid w:val="00AC3F99"/>
    <w:rsid w:val="00AD5C51"/>
    <w:rsid w:val="00AD6AAD"/>
    <w:rsid w:val="00AE2B18"/>
    <w:rsid w:val="00AE40F0"/>
    <w:rsid w:val="00AF0B38"/>
    <w:rsid w:val="00AF3F82"/>
    <w:rsid w:val="00B132CE"/>
    <w:rsid w:val="00B151A8"/>
    <w:rsid w:val="00B27BE5"/>
    <w:rsid w:val="00B27F2D"/>
    <w:rsid w:val="00B301D6"/>
    <w:rsid w:val="00B337A5"/>
    <w:rsid w:val="00B33ED0"/>
    <w:rsid w:val="00B35A45"/>
    <w:rsid w:val="00B4641E"/>
    <w:rsid w:val="00B46E78"/>
    <w:rsid w:val="00B5072E"/>
    <w:rsid w:val="00B53290"/>
    <w:rsid w:val="00B53DD1"/>
    <w:rsid w:val="00B57FE6"/>
    <w:rsid w:val="00B64C77"/>
    <w:rsid w:val="00B650A8"/>
    <w:rsid w:val="00B80485"/>
    <w:rsid w:val="00B95BF7"/>
    <w:rsid w:val="00BA3108"/>
    <w:rsid w:val="00BC5D71"/>
    <w:rsid w:val="00BC7955"/>
    <w:rsid w:val="00BD7483"/>
    <w:rsid w:val="00BE56A5"/>
    <w:rsid w:val="00BF5A25"/>
    <w:rsid w:val="00C03924"/>
    <w:rsid w:val="00C1644D"/>
    <w:rsid w:val="00C30621"/>
    <w:rsid w:val="00C307F0"/>
    <w:rsid w:val="00C34242"/>
    <w:rsid w:val="00C42F33"/>
    <w:rsid w:val="00C4493E"/>
    <w:rsid w:val="00C71FC9"/>
    <w:rsid w:val="00C766EF"/>
    <w:rsid w:val="00C80F8C"/>
    <w:rsid w:val="00C934CD"/>
    <w:rsid w:val="00CA047D"/>
    <w:rsid w:val="00CB4AA5"/>
    <w:rsid w:val="00CC1869"/>
    <w:rsid w:val="00CC5EAB"/>
    <w:rsid w:val="00CC7F23"/>
    <w:rsid w:val="00CD311D"/>
    <w:rsid w:val="00CF021E"/>
    <w:rsid w:val="00CF30E8"/>
    <w:rsid w:val="00D01B99"/>
    <w:rsid w:val="00D22D87"/>
    <w:rsid w:val="00D3189D"/>
    <w:rsid w:val="00D403FF"/>
    <w:rsid w:val="00D46C00"/>
    <w:rsid w:val="00D50660"/>
    <w:rsid w:val="00D5137E"/>
    <w:rsid w:val="00D526D7"/>
    <w:rsid w:val="00D557C2"/>
    <w:rsid w:val="00D64F32"/>
    <w:rsid w:val="00D802AF"/>
    <w:rsid w:val="00D97494"/>
    <w:rsid w:val="00DA5209"/>
    <w:rsid w:val="00DB1B9A"/>
    <w:rsid w:val="00DB3EE3"/>
    <w:rsid w:val="00DD6A6C"/>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6ECF"/>
    <w:rsid w:val="00E8209A"/>
    <w:rsid w:val="00E83E8C"/>
    <w:rsid w:val="00EA27CB"/>
    <w:rsid w:val="00EA5EEB"/>
    <w:rsid w:val="00EA7874"/>
    <w:rsid w:val="00EB07CC"/>
    <w:rsid w:val="00EB7480"/>
    <w:rsid w:val="00EB7DE6"/>
    <w:rsid w:val="00EB7F1A"/>
    <w:rsid w:val="00EC0002"/>
    <w:rsid w:val="00ED5EE9"/>
    <w:rsid w:val="00F06505"/>
    <w:rsid w:val="00F1277E"/>
    <w:rsid w:val="00F24EB8"/>
    <w:rsid w:val="00F33012"/>
    <w:rsid w:val="00F33D39"/>
    <w:rsid w:val="00F36CDE"/>
    <w:rsid w:val="00F44E84"/>
    <w:rsid w:val="00F548A9"/>
    <w:rsid w:val="00F54D8B"/>
    <w:rsid w:val="00F65E4C"/>
    <w:rsid w:val="00F85381"/>
    <w:rsid w:val="00F9624E"/>
    <w:rsid w:val="00FA1533"/>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92C3-1862-4C4F-BB0A-5E2B562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1516</Words>
  <Characters>8338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2018-09-10T17:54:00Z</cp:lastPrinted>
  <dcterms:created xsi:type="dcterms:W3CDTF">2018-09-10T19:47:00Z</dcterms:created>
  <dcterms:modified xsi:type="dcterms:W3CDTF">2018-10-19T19:14:00Z</dcterms:modified>
</cp:coreProperties>
</file>